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342" w:type="dxa"/>
        <w:jc w:val="center"/>
        <w:tblInd w:w="-572"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21"/>
        <w:gridCol w:w="2670"/>
        <w:gridCol w:w="9105"/>
        <w:gridCol w:w="2646"/>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ascii="微软雅黑" w:hAnsi="微软雅黑" w:eastAsia="微软雅黑" w:cs="微软雅黑"/>
                <w:i w:val="0"/>
                <w:caps w:val="0"/>
                <w:color w:val="525353"/>
                <w:spacing w:val="0"/>
                <w:sz w:val="30"/>
                <w:szCs w:val="30"/>
              </w:rPr>
              <w:t>序号</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525353"/>
                <w:spacing w:val="0"/>
                <w:sz w:val="30"/>
                <w:szCs w:val="30"/>
              </w:rPr>
              <w:t>项目名称</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525353"/>
                <w:spacing w:val="0"/>
                <w:sz w:val="30"/>
                <w:szCs w:val="30"/>
              </w:rPr>
              <w:t>设定依据</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4"/>
                <w:rFonts w:hint="eastAsia" w:ascii="微软雅黑" w:hAnsi="微软雅黑" w:eastAsia="微软雅黑" w:cs="微软雅黑"/>
                <w:i w:val="0"/>
                <w:caps w:val="0"/>
                <w:color w:val="525353"/>
                <w:spacing w:val="0"/>
                <w:sz w:val="30"/>
                <w:szCs w:val="30"/>
              </w:rPr>
              <w:t>审批机关</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color w:val="auto"/>
                <w:lang w:eastAsia="zh-CN"/>
              </w:rPr>
            </w:pPr>
            <w:r>
              <w:rPr>
                <w:rFonts w:hint="eastAsia" w:ascii="微软雅黑" w:hAnsi="微软雅黑" w:eastAsia="微软雅黑" w:cs="微软雅黑"/>
                <w:i w:val="0"/>
                <w:caps w:val="0"/>
                <w:color w:val="auto"/>
                <w:spacing w:val="0"/>
                <w:sz w:val="30"/>
                <w:szCs w:val="30"/>
                <w:lang w:val="en-US" w:eastAsia="zh-CN"/>
              </w:rPr>
              <w:t>1</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从事拍卖业务许可</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《中华人民共和国拍卖法》第十一条</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《拍卖管理办法》    第十二条  、第十三条     </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《中华人民共和国行政许可法》 第五十条、第七十条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color w:val="auto"/>
                <w:lang w:eastAsia="zh-CN"/>
              </w:rPr>
            </w:pPr>
            <w:r>
              <w:rPr>
                <w:rFonts w:hint="eastAsia" w:ascii="微软雅黑" w:hAnsi="微软雅黑" w:eastAsia="微软雅黑" w:cs="微软雅黑"/>
                <w:i w:val="0"/>
                <w:caps w:val="0"/>
                <w:color w:val="auto"/>
                <w:spacing w:val="0"/>
                <w:sz w:val="30"/>
                <w:szCs w:val="30"/>
                <w:lang w:val="en-US" w:eastAsia="zh-CN"/>
              </w:rPr>
              <w:t>2</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外国非企业经济组织在华设立常驻代表机构审批</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《国务院对确需保留的行政审批项目设定行政许可的决定》第189项</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 《关于第五批取消和下放管理层级行政审批项目的决定》下放管理层级的行政审批项目目录第3项</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 《对外贸易经济合作部关于审批和管理外国企业在华常驻代表机构的实施细则》第二条、第三条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color w:val="auto"/>
                <w:lang w:eastAsia="zh-CN"/>
              </w:rPr>
            </w:pPr>
            <w:r>
              <w:rPr>
                <w:rFonts w:hint="eastAsia" w:ascii="微软雅黑" w:hAnsi="微软雅黑" w:eastAsia="微软雅黑" w:cs="微软雅黑"/>
                <w:i w:val="0"/>
                <w:caps w:val="0"/>
                <w:color w:val="auto"/>
                <w:spacing w:val="0"/>
                <w:sz w:val="30"/>
                <w:szCs w:val="30"/>
                <w:lang w:val="en-US" w:eastAsia="zh-CN"/>
              </w:rPr>
              <w:t>3</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限制进出口技术的进出口许可</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《中华人民共和国对外贸易法》第十九条 </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《中华人民共和国技术进出口管理条例》第十条、第三十三条 </w:t>
            </w:r>
            <w:r>
              <w:rPr>
                <w:rFonts w:hint="eastAsia" w:ascii="微软雅黑" w:hAnsi="微软雅黑" w:eastAsia="微软雅黑" w:cs="微软雅黑"/>
                <w:i w:val="0"/>
                <w:caps w:val="0"/>
                <w:color w:val="525353"/>
                <w:spacing w:val="0"/>
                <w:sz w:val="30"/>
                <w:szCs w:val="30"/>
              </w:rPr>
              <w:br w:type="textWrapping"/>
            </w:r>
            <w:bookmarkStart w:id="0" w:name="_GoBack"/>
            <w:bookmarkEnd w:id="0"/>
            <w:r>
              <w:rPr>
                <w:rFonts w:hint="eastAsia" w:ascii="微软雅黑" w:hAnsi="微软雅黑" w:eastAsia="微软雅黑" w:cs="微软雅黑"/>
                <w:i w:val="0"/>
                <w:caps w:val="0"/>
                <w:color w:val="525353"/>
                <w:spacing w:val="0"/>
                <w:sz w:val="30"/>
                <w:szCs w:val="30"/>
              </w:rPr>
              <w:t>《禁止出口限制出口技术管理办法》第四条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eastAsia="zh-CN"/>
              </w:rPr>
            </w:pPr>
            <w:r>
              <w:rPr>
                <w:rFonts w:hint="eastAsia" w:ascii="微软雅黑" w:hAnsi="微软雅黑" w:eastAsia="微软雅黑" w:cs="微软雅黑"/>
                <w:i w:val="0"/>
                <w:caps w:val="0"/>
                <w:color w:val="auto"/>
                <w:spacing w:val="0"/>
                <w:sz w:val="30"/>
                <w:szCs w:val="30"/>
                <w:lang w:val="en-US" w:eastAsia="zh-CN"/>
              </w:rPr>
              <w:t>4</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对外劳务合作经营资格核准</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《对外劳务合作管理条例》第二章第七条 </w:t>
            </w:r>
            <w:r>
              <w:rPr>
                <w:rFonts w:hint="eastAsia" w:ascii="微软雅黑" w:hAnsi="微软雅黑" w:eastAsia="微软雅黑" w:cs="微软雅黑"/>
                <w:i w:val="0"/>
                <w:caps w:val="0"/>
                <w:color w:val="525353"/>
                <w:spacing w:val="0"/>
                <w:sz w:val="30"/>
                <w:szCs w:val="30"/>
              </w:rPr>
              <w:br w:type="textWrapping"/>
            </w:r>
            <w:r>
              <w:rPr>
                <w:rFonts w:hint="eastAsia" w:ascii="微软雅黑" w:hAnsi="微软雅黑" w:eastAsia="微软雅黑" w:cs="微软雅黑"/>
                <w:i w:val="0"/>
                <w:caps w:val="0"/>
                <w:color w:val="525353"/>
                <w:spacing w:val="0"/>
                <w:sz w:val="30"/>
                <w:szCs w:val="30"/>
              </w:rPr>
              <w:t>《对外劳务合作经营资格管理办法》第七条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525353"/>
                <w:spacing w:val="0"/>
                <w:sz w:val="30"/>
                <w:szCs w:val="30"/>
                <w:lang w:val="en-US" w:eastAsia="zh-CN"/>
              </w:rPr>
            </w:pPr>
            <w:r>
              <w:rPr>
                <w:rFonts w:hint="eastAsia" w:ascii="微软雅黑" w:hAnsi="微软雅黑" w:eastAsia="微软雅黑" w:cs="微软雅黑"/>
                <w:i w:val="0"/>
                <w:caps w:val="0"/>
                <w:color w:val="525353"/>
                <w:spacing w:val="0"/>
                <w:sz w:val="30"/>
                <w:szCs w:val="30"/>
                <w:lang w:val="en-US" w:eastAsia="zh-CN"/>
              </w:rPr>
              <w:t>5</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货物自动进口许可</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lang w:eastAsia="zh-CN"/>
              </w:rPr>
              <w:t>《</w:t>
            </w:r>
            <w:r>
              <w:rPr>
                <w:rFonts w:hint="eastAsia" w:ascii="微软雅黑" w:hAnsi="微软雅黑" w:eastAsia="微软雅黑" w:cs="微软雅黑"/>
                <w:i w:val="0"/>
                <w:caps w:val="0"/>
                <w:color w:val="525353"/>
                <w:spacing w:val="0"/>
                <w:sz w:val="30"/>
                <w:szCs w:val="30"/>
              </w:rPr>
              <w:t>中华人民共和国对外贸易法》第十五条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lang w:eastAsia="zh-CN"/>
              </w:rPr>
            </w:pPr>
            <w:r>
              <w:rPr>
                <w:rFonts w:hint="eastAsia" w:ascii="微软雅黑" w:hAnsi="微软雅黑" w:eastAsia="微软雅黑" w:cs="微软雅黑"/>
                <w:i w:val="0"/>
                <w:caps w:val="0"/>
                <w:color w:val="525353"/>
                <w:spacing w:val="0"/>
                <w:sz w:val="30"/>
                <w:szCs w:val="30"/>
              </w:rPr>
              <w:t>《中华人民共和国货物进出口管理条例》</w:t>
            </w:r>
            <w:r>
              <w:rPr>
                <w:rFonts w:hint="eastAsia" w:ascii="微软雅黑" w:hAnsi="微软雅黑" w:eastAsia="微软雅黑" w:cs="微软雅黑"/>
                <w:i w:val="0"/>
                <w:caps w:val="0"/>
                <w:color w:val="525353"/>
                <w:spacing w:val="0"/>
                <w:sz w:val="30"/>
                <w:szCs w:val="30"/>
                <w:lang w:eastAsia="zh-CN"/>
              </w:rPr>
              <w:t>第二十二条、第二十四条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525353"/>
                <w:spacing w:val="0"/>
                <w:sz w:val="30"/>
                <w:szCs w:val="30"/>
                <w:lang w:val="en-US" w:eastAsia="zh-CN"/>
              </w:rPr>
            </w:pPr>
            <w:r>
              <w:rPr>
                <w:rFonts w:hint="eastAsia" w:ascii="微软雅黑" w:hAnsi="微软雅黑" w:eastAsia="微软雅黑" w:cs="微软雅黑"/>
                <w:i w:val="0"/>
                <w:caps w:val="0"/>
                <w:color w:val="525353"/>
                <w:spacing w:val="0"/>
                <w:sz w:val="30"/>
                <w:szCs w:val="30"/>
                <w:lang w:val="en-US" w:eastAsia="zh-CN"/>
              </w:rPr>
              <w:t>6</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出口许可证核发</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lang w:eastAsia="zh-CN"/>
              </w:rPr>
            </w:pPr>
            <w:r>
              <w:rPr>
                <w:rFonts w:hint="eastAsia" w:ascii="微软雅黑" w:hAnsi="微软雅黑" w:eastAsia="微软雅黑" w:cs="微软雅黑"/>
                <w:i w:val="0"/>
                <w:caps w:val="0"/>
                <w:color w:val="525353"/>
                <w:spacing w:val="0"/>
                <w:sz w:val="30"/>
                <w:szCs w:val="30"/>
              </w:rPr>
              <w:t>《中华人民共和国对外贸易法》</w:t>
            </w:r>
            <w:r>
              <w:rPr>
                <w:rFonts w:hint="eastAsia" w:ascii="微软雅黑" w:hAnsi="微软雅黑" w:eastAsia="微软雅黑" w:cs="微软雅黑"/>
                <w:i w:val="0"/>
                <w:caps w:val="0"/>
                <w:color w:val="525353"/>
                <w:spacing w:val="0"/>
                <w:sz w:val="30"/>
                <w:szCs w:val="30"/>
                <w:lang w:eastAsia="zh-CN"/>
              </w:rPr>
              <w:t>第十九条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lang w:eastAsia="zh-CN"/>
              </w:rPr>
            </w:pPr>
            <w:r>
              <w:rPr>
                <w:rFonts w:hint="eastAsia" w:ascii="微软雅黑" w:hAnsi="微软雅黑" w:eastAsia="微软雅黑" w:cs="微软雅黑"/>
                <w:i w:val="0"/>
                <w:caps w:val="0"/>
                <w:color w:val="525353"/>
                <w:spacing w:val="0"/>
                <w:sz w:val="30"/>
                <w:szCs w:val="30"/>
                <w:lang w:eastAsia="zh-CN"/>
              </w:rPr>
              <w:t>《货物出口许可证管理办法》第五条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525353"/>
                <w:spacing w:val="0"/>
                <w:sz w:val="30"/>
                <w:szCs w:val="30"/>
                <w:lang w:val="en-US" w:eastAsia="zh-CN"/>
              </w:rPr>
            </w:pPr>
            <w:r>
              <w:rPr>
                <w:rFonts w:hint="eastAsia" w:ascii="微软雅黑" w:hAnsi="微软雅黑" w:eastAsia="微软雅黑" w:cs="微软雅黑"/>
                <w:i w:val="0"/>
                <w:caps w:val="0"/>
                <w:color w:val="525353"/>
                <w:spacing w:val="0"/>
                <w:sz w:val="30"/>
                <w:szCs w:val="30"/>
                <w:lang w:val="en-US" w:eastAsia="zh-CN"/>
              </w:rPr>
              <w:t>7</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部分易制毒化学品和石墨类相关制品进出口许可</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lang w:eastAsia="zh-CN"/>
              </w:rPr>
            </w:pPr>
            <w:r>
              <w:rPr>
                <w:rFonts w:hint="eastAsia" w:ascii="微软雅黑" w:hAnsi="微软雅黑" w:eastAsia="微软雅黑" w:cs="微软雅黑"/>
                <w:i w:val="0"/>
                <w:caps w:val="0"/>
                <w:color w:val="525353"/>
                <w:spacing w:val="0"/>
                <w:sz w:val="30"/>
                <w:szCs w:val="30"/>
              </w:rPr>
              <w:t>《中华人民共和国易制毒化学品管理条例》</w:t>
            </w:r>
            <w:r>
              <w:rPr>
                <w:rFonts w:hint="eastAsia" w:ascii="微软雅黑" w:hAnsi="微软雅黑" w:eastAsia="微软雅黑" w:cs="微软雅黑"/>
                <w:i w:val="0"/>
                <w:caps w:val="0"/>
                <w:color w:val="525353"/>
                <w:spacing w:val="0"/>
                <w:sz w:val="30"/>
                <w:szCs w:val="30"/>
                <w:lang w:eastAsia="zh-CN"/>
              </w:rPr>
              <w:t>第二十六条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525353"/>
                <w:spacing w:val="0"/>
                <w:sz w:val="30"/>
                <w:szCs w:val="30"/>
                <w:lang w:val="en-US" w:eastAsia="zh-CN"/>
              </w:rPr>
            </w:pPr>
            <w:r>
              <w:rPr>
                <w:rFonts w:hint="eastAsia" w:ascii="微软雅黑" w:hAnsi="微软雅黑" w:eastAsia="微软雅黑" w:cs="微软雅黑"/>
                <w:i w:val="0"/>
                <w:caps w:val="0"/>
                <w:color w:val="525353"/>
                <w:spacing w:val="0"/>
                <w:sz w:val="30"/>
                <w:szCs w:val="30"/>
                <w:lang w:val="en-US" w:eastAsia="zh-CN"/>
              </w:rPr>
              <w:t>8</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报废机动车回收企业资质认定</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lang w:eastAsia="zh-CN"/>
              </w:rPr>
            </w:pPr>
            <w:r>
              <w:rPr>
                <w:rFonts w:hint="eastAsia" w:ascii="微软雅黑" w:hAnsi="微软雅黑" w:eastAsia="微软雅黑" w:cs="微软雅黑"/>
                <w:i w:val="0"/>
                <w:caps w:val="0"/>
                <w:color w:val="525353"/>
                <w:spacing w:val="0"/>
                <w:sz w:val="30"/>
                <w:szCs w:val="30"/>
              </w:rPr>
              <w:t>《报废机动车回收管理办法》第五条</w:t>
            </w:r>
            <w:r>
              <w:rPr>
                <w:rFonts w:hint="eastAsia" w:ascii="微软雅黑" w:hAnsi="微软雅黑" w:eastAsia="微软雅黑" w:cs="微软雅黑"/>
                <w:i w:val="0"/>
                <w:caps w:val="0"/>
                <w:color w:val="525353"/>
                <w:spacing w:val="0"/>
                <w:sz w:val="30"/>
                <w:szCs w:val="30"/>
                <w:lang w:eastAsia="zh-CN"/>
              </w:rPr>
              <w:t>、第七条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广西商务厅</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21"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i w:val="0"/>
                <w:caps w:val="0"/>
                <w:color w:val="525353"/>
                <w:spacing w:val="0"/>
                <w:sz w:val="30"/>
                <w:szCs w:val="30"/>
                <w:lang w:val="en-US" w:eastAsia="zh-CN"/>
              </w:rPr>
            </w:pPr>
            <w:r>
              <w:rPr>
                <w:rFonts w:hint="eastAsia" w:ascii="微软雅黑" w:hAnsi="微软雅黑" w:eastAsia="微软雅黑" w:cs="微软雅黑"/>
                <w:i w:val="0"/>
                <w:caps w:val="0"/>
                <w:color w:val="525353"/>
                <w:spacing w:val="0"/>
                <w:sz w:val="30"/>
                <w:szCs w:val="30"/>
                <w:lang w:val="en-US" w:eastAsia="zh-CN"/>
              </w:rPr>
              <w:t>9</w:t>
            </w:r>
          </w:p>
        </w:tc>
        <w:tc>
          <w:tcPr>
            <w:tcW w:w="2670"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对外贸易经营者备案登记</w:t>
            </w:r>
          </w:p>
        </w:tc>
        <w:tc>
          <w:tcPr>
            <w:tcW w:w="9105"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《中华人民共和国对外贸易法》第九条</w:t>
            </w:r>
          </w:p>
        </w:tc>
        <w:tc>
          <w:tcPr>
            <w:tcW w:w="264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20" w:type="dxa"/>
              <w:bottom w:w="75"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hint="eastAsia" w:ascii="微软雅黑" w:hAnsi="微软雅黑" w:eastAsia="微软雅黑" w:cs="微软雅黑"/>
                <w:i w:val="0"/>
                <w:caps w:val="0"/>
                <w:color w:val="525353"/>
                <w:spacing w:val="0"/>
                <w:sz w:val="30"/>
                <w:szCs w:val="30"/>
              </w:rPr>
            </w:pPr>
            <w:r>
              <w:rPr>
                <w:rFonts w:hint="eastAsia" w:ascii="微软雅黑" w:hAnsi="微软雅黑" w:eastAsia="微软雅黑" w:cs="微软雅黑"/>
                <w:i w:val="0"/>
                <w:caps w:val="0"/>
                <w:color w:val="525353"/>
                <w:spacing w:val="0"/>
                <w:sz w:val="30"/>
                <w:szCs w:val="30"/>
              </w:rPr>
              <w:t>广西商务厅</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52D74"/>
    <w:rsid w:val="458C1576"/>
    <w:rsid w:val="496B672F"/>
    <w:rsid w:val="53A93832"/>
    <w:rsid w:val="7234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huangQ</dc:creator>
  <cp:lastModifiedBy>黄强</cp:lastModifiedBy>
  <dcterms:modified xsi:type="dcterms:W3CDTF">2021-01-04T07:30:32Z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