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adjustRightInd w:val="0"/>
        <w:snapToGrid w:val="0"/>
        <w:spacing w:before="0" w:beforeAutospacing="0" w:after="0" w:afterAutospacing="0" w:line="590" w:lineRule="exact"/>
        <w:jc w:val="both"/>
        <w:rPr>
          <w:rFonts w:hint="eastAsia" w:ascii="方正黑体_GBK" w:hAnsi="Times New Roman" w:eastAsia="方正黑体_GBK"/>
          <w:snapToGrid w:val="0"/>
          <w:kern w:val="32"/>
          <w:sz w:val="32"/>
          <w:szCs w:val="32"/>
        </w:rPr>
      </w:pPr>
      <w:r>
        <w:rPr>
          <w:rFonts w:hint="eastAsia" w:ascii="方正黑体_GBK" w:hAnsi="Times New Roman" w:eastAsia="方正黑体_GBK"/>
          <w:snapToGrid w:val="0"/>
          <w:kern w:val="32"/>
          <w:sz w:val="32"/>
          <w:szCs w:val="32"/>
        </w:rPr>
        <w:t>附件</w:t>
      </w:r>
    </w:p>
    <w:p>
      <w:pPr>
        <w:pStyle w:val="4"/>
        <w:widowControl w:val="0"/>
        <w:adjustRightInd w:val="0"/>
        <w:snapToGrid w:val="0"/>
        <w:spacing w:before="0" w:beforeAutospacing="0" w:after="0" w:afterAutospacing="0" w:line="480" w:lineRule="exact"/>
        <w:jc w:val="both"/>
        <w:rPr>
          <w:rFonts w:ascii="Times New Roman" w:hAnsi="Times New Roman" w:eastAsia="方正仿宋_GBK"/>
          <w:snapToGrid w:val="0"/>
          <w:kern w:val="32"/>
          <w:sz w:val="32"/>
          <w:szCs w:val="32"/>
        </w:rPr>
      </w:pPr>
      <w:r>
        <w:rPr>
          <w:rFonts w:ascii="Times New Roman" w:hAnsi="Times New Roman" w:eastAsia="方正仿宋_GBK"/>
          <w:snapToGrid w:val="0"/>
          <w:kern w:val="32"/>
          <w:sz w:val="32"/>
          <w:szCs w:val="32"/>
        </w:rPr>
        <w:t xml:space="preserve"> </w:t>
      </w:r>
    </w:p>
    <w:p>
      <w:pPr>
        <w:pStyle w:val="4"/>
        <w:widowControl w:val="0"/>
        <w:adjustRightInd w:val="0"/>
        <w:snapToGrid w:val="0"/>
        <w:spacing w:before="0" w:beforeAutospacing="0" w:after="0" w:afterAutospacing="0" w:line="590" w:lineRule="exact"/>
        <w:jc w:val="center"/>
        <w:rPr>
          <w:rFonts w:hint="eastAsia" w:ascii="方正小标宋_GBK" w:hAnsi="Times New Roman" w:eastAsia="方正小标宋_GBK"/>
          <w:snapToGrid w:val="0"/>
          <w:kern w:val="32"/>
          <w:sz w:val="44"/>
          <w:szCs w:val="44"/>
        </w:rPr>
      </w:pPr>
      <w:bookmarkStart w:id="0" w:name="_GoBack"/>
      <w:r>
        <w:rPr>
          <w:rFonts w:hint="eastAsia" w:ascii="方正小标宋_GBK" w:hAnsi="Times New Roman" w:eastAsia="方正小标宋_GBK"/>
          <w:snapToGrid w:val="0"/>
          <w:kern w:val="32"/>
          <w:sz w:val="44"/>
          <w:szCs w:val="44"/>
        </w:rPr>
        <w:t>自治区人民政府决定取消的行政许可等事项目录</w:t>
      </w:r>
    </w:p>
    <w:bookmarkEnd w:id="0"/>
    <w:p>
      <w:pPr>
        <w:pStyle w:val="4"/>
        <w:widowControl w:val="0"/>
        <w:adjustRightInd w:val="0"/>
        <w:snapToGrid w:val="0"/>
        <w:spacing w:before="0" w:beforeAutospacing="0" w:after="0" w:afterAutospacing="0" w:line="590" w:lineRule="exact"/>
        <w:jc w:val="center"/>
        <w:rPr>
          <w:rFonts w:ascii="Times New Roman" w:hAnsi="Times New Roman" w:eastAsia="方正楷体_GBK" w:cs="Times New Roman"/>
          <w:snapToGrid w:val="0"/>
          <w:kern w:val="32"/>
          <w:sz w:val="32"/>
          <w:szCs w:val="32"/>
        </w:rPr>
      </w:pPr>
      <w:r>
        <w:rPr>
          <w:rFonts w:ascii="Times New Roman" w:hAnsi="Times New Roman" w:eastAsia="方正楷体_GBK" w:cs="Times New Roman"/>
          <w:snapToGrid w:val="0"/>
          <w:kern w:val="32"/>
          <w:sz w:val="32"/>
          <w:szCs w:val="32"/>
        </w:rPr>
        <w:t>（共11项）</w:t>
      </w:r>
    </w:p>
    <w:p>
      <w:pPr>
        <w:pStyle w:val="4"/>
        <w:widowControl w:val="0"/>
        <w:adjustRightInd w:val="0"/>
        <w:snapToGrid w:val="0"/>
        <w:spacing w:before="0" w:beforeAutospacing="0" w:after="0" w:afterAutospacing="0" w:line="480" w:lineRule="exact"/>
        <w:jc w:val="both"/>
        <w:rPr>
          <w:rFonts w:ascii="Times New Roman" w:hAnsi="Times New Roman" w:eastAsia="方正仿宋_GBK"/>
          <w:snapToGrid w:val="0"/>
          <w:kern w:val="32"/>
          <w:sz w:val="32"/>
          <w:szCs w:val="32"/>
        </w:rPr>
      </w:pPr>
    </w:p>
    <w:tbl>
      <w:tblPr>
        <w:tblStyle w:val="7"/>
        <w:tblW w:w="130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33"/>
        <w:gridCol w:w="1330"/>
        <w:gridCol w:w="1834"/>
        <w:gridCol w:w="3708"/>
        <w:gridCol w:w="4578"/>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97" w:hRule="atLeast"/>
          <w:tblHeader/>
          <w:jc w:val="center"/>
        </w:trPr>
        <w:tc>
          <w:tcPr>
            <w:tcW w:w="533" w:type="dxa"/>
            <w:vAlign w:val="center"/>
          </w:tcPr>
          <w:p>
            <w:pPr>
              <w:adjustRightInd w:val="0"/>
              <w:snapToGrid w:val="0"/>
              <w:spacing w:line="300" w:lineRule="exact"/>
              <w:jc w:val="center"/>
              <w:rPr>
                <w:rFonts w:hint="eastAsia" w:ascii="方正黑体_GBK" w:eastAsia="方正黑体_GBK"/>
                <w:kern w:val="0"/>
                <w:sz w:val="21"/>
                <w:szCs w:val="21"/>
              </w:rPr>
            </w:pPr>
            <w:r>
              <w:rPr>
                <w:rFonts w:hint="eastAsia" w:ascii="方正黑体_GBK" w:eastAsia="方正黑体_GBK"/>
                <w:bCs/>
                <w:kern w:val="0"/>
                <w:sz w:val="21"/>
                <w:szCs w:val="21"/>
              </w:rPr>
              <w:t>序号</w:t>
            </w:r>
          </w:p>
        </w:tc>
        <w:tc>
          <w:tcPr>
            <w:tcW w:w="1330" w:type="dxa"/>
            <w:vAlign w:val="center"/>
          </w:tcPr>
          <w:p>
            <w:pPr>
              <w:adjustRightInd w:val="0"/>
              <w:snapToGrid w:val="0"/>
              <w:spacing w:line="300" w:lineRule="exact"/>
              <w:jc w:val="center"/>
              <w:rPr>
                <w:rFonts w:hint="eastAsia" w:ascii="方正黑体_GBK" w:eastAsia="方正黑体_GBK"/>
                <w:kern w:val="0"/>
                <w:sz w:val="21"/>
                <w:szCs w:val="21"/>
              </w:rPr>
            </w:pPr>
            <w:r>
              <w:rPr>
                <w:rFonts w:hint="eastAsia" w:ascii="方正黑体_GBK" w:eastAsia="方正黑体_GBK"/>
                <w:bCs/>
                <w:kern w:val="0"/>
                <w:sz w:val="21"/>
                <w:szCs w:val="21"/>
              </w:rPr>
              <w:t>项目名称</w:t>
            </w:r>
          </w:p>
        </w:tc>
        <w:tc>
          <w:tcPr>
            <w:tcW w:w="1834" w:type="dxa"/>
            <w:vAlign w:val="center"/>
          </w:tcPr>
          <w:p>
            <w:pPr>
              <w:adjustRightInd w:val="0"/>
              <w:snapToGrid w:val="0"/>
              <w:spacing w:line="300" w:lineRule="exact"/>
              <w:jc w:val="center"/>
              <w:rPr>
                <w:rFonts w:hint="eastAsia" w:ascii="方正黑体_GBK" w:eastAsia="方正黑体_GBK"/>
                <w:kern w:val="0"/>
                <w:sz w:val="21"/>
                <w:szCs w:val="21"/>
              </w:rPr>
            </w:pPr>
            <w:r>
              <w:rPr>
                <w:rFonts w:hint="eastAsia" w:ascii="方正黑体_GBK" w:eastAsia="方正黑体_GBK"/>
                <w:bCs/>
                <w:kern w:val="0"/>
                <w:sz w:val="21"/>
                <w:szCs w:val="21"/>
              </w:rPr>
              <w:t>实施层级和部门</w:t>
            </w:r>
          </w:p>
        </w:tc>
        <w:tc>
          <w:tcPr>
            <w:tcW w:w="3708" w:type="dxa"/>
            <w:vAlign w:val="center"/>
          </w:tcPr>
          <w:p>
            <w:pPr>
              <w:adjustRightInd w:val="0"/>
              <w:snapToGrid w:val="0"/>
              <w:spacing w:line="300" w:lineRule="exact"/>
              <w:jc w:val="center"/>
              <w:rPr>
                <w:rFonts w:hint="eastAsia" w:ascii="方正黑体_GBK" w:eastAsia="方正黑体_GBK"/>
                <w:kern w:val="0"/>
                <w:sz w:val="21"/>
                <w:szCs w:val="21"/>
              </w:rPr>
            </w:pPr>
            <w:r>
              <w:rPr>
                <w:rFonts w:hint="eastAsia" w:ascii="方正黑体_GBK" w:eastAsia="方正黑体_GBK"/>
                <w:bCs/>
                <w:kern w:val="0"/>
                <w:sz w:val="21"/>
                <w:szCs w:val="21"/>
              </w:rPr>
              <w:t>设定依据</w:t>
            </w:r>
          </w:p>
        </w:tc>
        <w:tc>
          <w:tcPr>
            <w:tcW w:w="4578" w:type="dxa"/>
            <w:vAlign w:val="center"/>
          </w:tcPr>
          <w:p>
            <w:pPr>
              <w:adjustRightInd w:val="0"/>
              <w:snapToGrid w:val="0"/>
              <w:spacing w:line="300" w:lineRule="exact"/>
              <w:jc w:val="center"/>
              <w:rPr>
                <w:rFonts w:hint="eastAsia" w:ascii="方正黑体_GBK" w:eastAsia="方正黑体_GBK"/>
                <w:bCs/>
                <w:kern w:val="0"/>
                <w:sz w:val="21"/>
                <w:szCs w:val="21"/>
              </w:rPr>
            </w:pPr>
            <w:r>
              <w:rPr>
                <w:rFonts w:hint="eastAsia" w:ascii="方正黑体_GBK" w:eastAsia="方正黑体_GBK"/>
                <w:bCs/>
                <w:kern w:val="0"/>
                <w:sz w:val="21"/>
                <w:szCs w:val="21"/>
              </w:rPr>
              <w:t>处理决定</w:t>
            </w:r>
          </w:p>
        </w:tc>
        <w:tc>
          <w:tcPr>
            <w:tcW w:w="1115" w:type="dxa"/>
            <w:vAlign w:val="center"/>
          </w:tcPr>
          <w:p>
            <w:pPr>
              <w:adjustRightInd w:val="0"/>
              <w:snapToGrid w:val="0"/>
              <w:spacing w:line="300" w:lineRule="exact"/>
              <w:jc w:val="center"/>
              <w:rPr>
                <w:rFonts w:hint="eastAsia" w:ascii="方正黑体_GBK" w:eastAsia="方正黑体_GBK"/>
                <w:bCs/>
                <w:kern w:val="0"/>
                <w:sz w:val="21"/>
                <w:szCs w:val="21"/>
              </w:rPr>
            </w:pPr>
            <w:r>
              <w:rPr>
                <w:rFonts w:hint="eastAsia" w:ascii="方正黑体_GBK" w:eastAsia="方正黑体_GBK"/>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97" w:hRule="atLeast"/>
          <w:jc w:val="center"/>
        </w:trPr>
        <w:tc>
          <w:tcPr>
            <w:tcW w:w="533" w:type="dxa"/>
            <w:vAlign w:val="center"/>
          </w:tcPr>
          <w:p>
            <w:pPr>
              <w:adjustRightInd w:val="0"/>
              <w:snapToGrid w:val="0"/>
              <w:spacing w:line="292" w:lineRule="exact"/>
              <w:jc w:val="center"/>
              <w:rPr>
                <w:rFonts w:hint="eastAsia" w:ascii="方正书宋_GBK" w:eastAsia="方正书宋_GBK"/>
                <w:kern w:val="0"/>
                <w:sz w:val="21"/>
                <w:szCs w:val="21"/>
              </w:rPr>
            </w:pPr>
            <w:r>
              <w:rPr>
                <w:rFonts w:hint="eastAsia" w:ascii="方正书宋_GBK" w:eastAsia="方正书宋_GBK"/>
                <w:kern w:val="0"/>
                <w:sz w:val="21"/>
                <w:szCs w:val="21"/>
              </w:rPr>
              <w:t>1</w:t>
            </w:r>
          </w:p>
        </w:tc>
        <w:tc>
          <w:tcPr>
            <w:tcW w:w="1330" w:type="dxa"/>
            <w:vAlign w:val="center"/>
          </w:tcPr>
          <w:p>
            <w:pPr>
              <w:adjustRightInd w:val="0"/>
              <w:snapToGrid w:val="0"/>
              <w:spacing w:line="292" w:lineRule="exact"/>
              <w:rPr>
                <w:rFonts w:hint="eastAsia" w:ascii="方正书宋_GBK" w:eastAsia="方正书宋_GBK"/>
                <w:kern w:val="0"/>
                <w:sz w:val="21"/>
                <w:szCs w:val="21"/>
              </w:rPr>
            </w:pPr>
            <w:r>
              <w:rPr>
                <w:rFonts w:hint="eastAsia" w:ascii="方正书宋_GBK" w:eastAsia="方正书宋_GBK"/>
                <w:kern w:val="0"/>
                <w:sz w:val="21"/>
                <w:szCs w:val="21"/>
              </w:rPr>
              <w:t>企业集团核准登记</w:t>
            </w:r>
          </w:p>
        </w:tc>
        <w:tc>
          <w:tcPr>
            <w:tcW w:w="1834" w:type="dxa"/>
            <w:vAlign w:val="center"/>
          </w:tcPr>
          <w:p>
            <w:pPr>
              <w:adjustRightInd w:val="0"/>
              <w:snapToGrid w:val="0"/>
              <w:spacing w:line="292" w:lineRule="exact"/>
              <w:rPr>
                <w:rFonts w:hint="eastAsia" w:ascii="方正书宋_GBK" w:eastAsia="方正书宋_GBK"/>
                <w:kern w:val="0"/>
                <w:sz w:val="21"/>
                <w:szCs w:val="21"/>
              </w:rPr>
            </w:pPr>
            <w:r>
              <w:rPr>
                <w:rFonts w:hint="eastAsia" w:ascii="方正书宋_GBK" w:eastAsia="方正书宋_GBK"/>
                <w:kern w:val="0"/>
                <w:sz w:val="21"/>
                <w:szCs w:val="21"/>
              </w:rPr>
              <w:t>自治区、设区市、县级工商行政管理部门</w:t>
            </w:r>
          </w:p>
        </w:tc>
        <w:tc>
          <w:tcPr>
            <w:tcW w:w="3708" w:type="dxa"/>
            <w:vAlign w:val="center"/>
          </w:tcPr>
          <w:p>
            <w:pPr>
              <w:adjustRightInd w:val="0"/>
              <w:snapToGrid w:val="0"/>
              <w:spacing w:line="292" w:lineRule="exact"/>
              <w:rPr>
                <w:rFonts w:hint="eastAsia" w:ascii="方正书宋_GBK" w:eastAsia="方正书宋_GBK"/>
                <w:kern w:val="0"/>
                <w:sz w:val="21"/>
                <w:szCs w:val="21"/>
              </w:rPr>
            </w:pPr>
            <w:r>
              <w:rPr>
                <w:rFonts w:hint="eastAsia" w:ascii="方正书宋_GBK" w:eastAsia="方正书宋_GBK"/>
                <w:kern w:val="0"/>
                <w:sz w:val="21"/>
                <w:szCs w:val="21"/>
              </w:rPr>
              <w:t>《中华人民共和国企业法人登记管理条例》（1988年6月3日国务院令第1号，2016年2月6日予以修改）</w:t>
            </w:r>
          </w:p>
        </w:tc>
        <w:tc>
          <w:tcPr>
            <w:tcW w:w="4578" w:type="dxa"/>
            <w:vAlign w:val="center"/>
          </w:tcPr>
          <w:p>
            <w:pPr>
              <w:adjustRightInd w:val="0"/>
              <w:snapToGrid w:val="0"/>
              <w:spacing w:line="292" w:lineRule="exact"/>
              <w:rPr>
                <w:rFonts w:hint="eastAsia" w:ascii="方正书宋_GBK" w:eastAsia="方正书宋_GBK"/>
                <w:kern w:val="0"/>
                <w:sz w:val="21"/>
                <w:szCs w:val="21"/>
              </w:rPr>
            </w:pPr>
            <w:r>
              <w:rPr>
                <w:rFonts w:hint="eastAsia" w:ascii="方正书宋_GBK" w:eastAsia="方正书宋_GBK"/>
                <w:kern w:val="0"/>
                <w:sz w:val="21"/>
                <w:szCs w:val="21"/>
              </w:rPr>
              <w:t>取消审批后，工商行政管理部门通过以下措施加强事中事后监管：1．尽快修订有关地方规范性文件，按照国家市场监管总局的标准和要求，核准涉及“集团”字样的企业名称。2．强化企业母公司（集团公司）的信息公示，接受社会监督。</w:t>
            </w:r>
          </w:p>
        </w:tc>
        <w:tc>
          <w:tcPr>
            <w:tcW w:w="1115" w:type="dxa"/>
            <w:vAlign w:val="center"/>
          </w:tcPr>
          <w:p>
            <w:pPr>
              <w:adjustRightInd w:val="0"/>
              <w:snapToGrid w:val="0"/>
              <w:spacing w:line="292" w:lineRule="exact"/>
              <w:rPr>
                <w:rFonts w:hint="eastAsia" w:ascii="方正书宋_GBK"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97" w:hRule="atLeast"/>
          <w:jc w:val="center"/>
        </w:trPr>
        <w:tc>
          <w:tcPr>
            <w:tcW w:w="533" w:type="dxa"/>
            <w:vAlign w:val="center"/>
          </w:tcPr>
          <w:p>
            <w:pPr>
              <w:adjustRightInd w:val="0"/>
              <w:snapToGrid w:val="0"/>
              <w:spacing w:line="292" w:lineRule="exact"/>
              <w:jc w:val="center"/>
              <w:rPr>
                <w:rFonts w:hint="eastAsia" w:ascii="方正书宋_GBK" w:eastAsia="方正书宋_GBK"/>
                <w:kern w:val="0"/>
                <w:sz w:val="21"/>
                <w:szCs w:val="21"/>
              </w:rPr>
            </w:pPr>
            <w:r>
              <w:rPr>
                <w:rFonts w:hint="eastAsia" w:ascii="方正书宋_GBK" w:eastAsia="方正书宋_GBK"/>
                <w:kern w:val="0"/>
                <w:sz w:val="21"/>
                <w:szCs w:val="21"/>
              </w:rPr>
              <w:t>2</w:t>
            </w:r>
          </w:p>
        </w:tc>
        <w:tc>
          <w:tcPr>
            <w:tcW w:w="1330" w:type="dxa"/>
            <w:vAlign w:val="center"/>
          </w:tcPr>
          <w:p>
            <w:pPr>
              <w:adjustRightInd w:val="0"/>
              <w:snapToGrid w:val="0"/>
              <w:spacing w:line="292" w:lineRule="exact"/>
              <w:rPr>
                <w:rFonts w:hint="eastAsia" w:ascii="方正书宋_GBK" w:eastAsia="方正书宋_GBK"/>
                <w:kern w:val="0"/>
                <w:sz w:val="21"/>
                <w:szCs w:val="21"/>
              </w:rPr>
            </w:pPr>
            <w:r>
              <w:rPr>
                <w:rFonts w:hint="eastAsia" w:ascii="方正书宋_GBK" w:eastAsia="方正书宋_GBK"/>
                <w:kern w:val="0"/>
                <w:sz w:val="21"/>
                <w:szCs w:val="21"/>
              </w:rPr>
              <w:t>台港澳人员在内地就业许可</w:t>
            </w:r>
          </w:p>
        </w:tc>
        <w:tc>
          <w:tcPr>
            <w:tcW w:w="1834" w:type="dxa"/>
            <w:vAlign w:val="center"/>
          </w:tcPr>
          <w:p>
            <w:pPr>
              <w:adjustRightInd w:val="0"/>
              <w:snapToGrid w:val="0"/>
              <w:spacing w:line="292" w:lineRule="exact"/>
              <w:rPr>
                <w:rFonts w:hint="eastAsia" w:ascii="方正书宋_GBK" w:eastAsia="方正书宋_GBK"/>
                <w:kern w:val="0"/>
                <w:sz w:val="21"/>
                <w:szCs w:val="21"/>
              </w:rPr>
            </w:pPr>
            <w:r>
              <w:rPr>
                <w:rFonts w:hint="eastAsia" w:ascii="方正书宋_GBK" w:eastAsia="方正书宋_GBK"/>
                <w:kern w:val="0"/>
                <w:sz w:val="21"/>
                <w:szCs w:val="21"/>
              </w:rPr>
              <w:t>设区市人力资源社会保障部门</w:t>
            </w:r>
          </w:p>
        </w:tc>
        <w:tc>
          <w:tcPr>
            <w:tcW w:w="3708" w:type="dxa"/>
            <w:vAlign w:val="center"/>
          </w:tcPr>
          <w:p>
            <w:pPr>
              <w:adjustRightInd w:val="0"/>
              <w:snapToGrid w:val="0"/>
              <w:spacing w:line="292" w:lineRule="exact"/>
              <w:rPr>
                <w:rFonts w:hint="eastAsia" w:ascii="方正书宋_GBK" w:eastAsia="方正书宋_GBK"/>
                <w:spacing w:val="-6"/>
                <w:kern w:val="0"/>
                <w:sz w:val="21"/>
                <w:szCs w:val="21"/>
              </w:rPr>
            </w:pPr>
            <w:r>
              <w:rPr>
                <w:rFonts w:hint="eastAsia" w:ascii="方正书宋_GBK" w:eastAsia="方正书宋_GBK"/>
                <w:spacing w:val="-6"/>
                <w:kern w:val="0"/>
                <w:sz w:val="21"/>
                <w:szCs w:val="21"/>
              </w:rPr>
              <w:t>《国务院对确需保留的行政审批项目设定行政许可的决定》（2004年6月29日国务院令第412号，2009年1月29日予以修改）</w:t>
            </w:r>
          </w:p>
          <w:p>
            <w:pPr>
              <w:adjustRightInd w:val="0"/>
              <w:snapToGrid w:val="0"/>
              <w:spacing w:line="292" w:lineRule="exact"/>
              <w:rPr>
                <w:rFonts w:hint="eastAsia" w:ascii="方正书宋_GBK" w:eastAsia="方正书宋_GBK"/>
                <w:spacing w:val="-6"/>
                <w:kern w:val="0"/>
                <w:sz w:val="21"/>
                <w:szCs w:val="21"/>
              </w:rPr>
            </w:pPr>
            <w:r>
              <w:rPr>
                <w:rFonts w:hint="eastAsia" w:ascii="方正书宋_GBK" w:eastAsia="方正书宋_GBK"/>
                <w:spacing w:val="-6"/>
                <w:kern w:val="0"/>
                <w:sz w:val="21"/>
                <w:szCs w:val="21"/>
              </w:rPr>
              <w:t>《国务院关于第六批取消和调整行政审批项目的决定》（国发〔2012〕52号）</w:t>
            </w:r>
          </w:p>
        </w:tc>
        <w:tc>
          <w:tcPr>
            <w:tcW w:w="4578" w:type="dxa"/>
            <w:vAlign w:val="center"/>
          </w:tcPr>
          <w:p>
            <w:pPr>
              <w:adjustRightInd w:val="0"/>
              <w:snapToGrid w:val="0"/>
              <w:spacing w:line="292" w:lineRule="exact"/>
              <w:rPr>
                <w:rFonts w:hint="eastAsia" w:ascii="方正书宋_GBK" w:eastAsia="方正书宋_GBK"/>
                <w:kern w:val="0"/>
                <w:sz w:val="21"/>
                <w:szCs w:val="21"/>
              </w:rPr>
            </w:pPr>
            <w:r>
              <w:rPr>
                <w:rFonts w:hint="eastAsia" w:ascii="方正书宋_GBK" w:eastAsia="方正书宋_GBK"/>
                <w:kern w:val="0"/>
                <w:sz w:val="21"/>
                <w:szCs w:val="21"/>
              </w:rPr>
              <w:t>取消审批后，人力资源社会保障部门通过以下措施加强事中事后监管：按照人力资源社会保障部研究制定的台港澳人员就业服务、社会保障、失业登记、劳动权益保护等方面配套政策措施，抓好落实。</w:t>
            </w:r>
          </w:p>
        </w:tc>
        <w:tc>
          <w:tcPr>
            <w:tcW w:w="1115" w:type="dxa"/>
            <w:vAlign w:val="center"/>
          </w:tcPr>
          <w:p>
            <w:pPr>
              <w:adjustRightInd w:val="0"/>
              <w:snapToGrid w:val="0"/>
              <w:spacing w:line="292" w:lineRule="exact"/>
              <w:rPr>
                <w:rFonts w:hint="eastAsia" w:ascii="方正书宋_GBK"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97" w:hRule="atLeast"/>
          <w:jc w:val="center"/>
        </w:trPr>
        <w:tc>
          <w:tcPr>
            <w:tcW w:w="533" w:type="dxa"/>
            <w:vAlign w:val="center"/>
          </w:tcPr>
          <w:p>
            <w:pPr>
              <w:adjustRightInd w:val="0"/>
              <w:snapToGrid w:val="0"/>
              <w:spacing w:line="292" w:lineRule="exact"/>
              <w:jc w:val="center"/>
              <w:rPr>
                <w:rFonts w:hint="eastAsia" w:ascii="方正书宋_GBK" w:eastAsia="方正书宋_GBK"/>
                <w:kern w:val="0"/>
                <w:sz w:val="21"/>
                <w:szCs w:val="21"/>
              </w:rPr>
            </w:pPr>
            <w:r>
              <w:rPr>
                <w:rFonts w:hint="eastAsia" w:ascii="方正书宋_GBK" w:eastAsia="方正书宋_GBK"/>
                <w:kern w:val="0"/>
                <w:sz w:val="21"/>
                <w:szCs w:val="21"/>
              </w:rPr>
              <w:t>3</w:t>
            </w:r>
          </w:p>
        </w:tc>
        <w:tc>
          <w:tcPr>
            <w:tcW w:w="1330" w:type="dxa"/>
            <w:vAlign w:val="center"/>
          </w:tcPr>
          <w:p>
            <w:pPr>
              <w:adjustRightInd w:val="0"/>
              <w:snapToGrid w:val="0"/>
              <w:spacing w:line="292" w:lineRule="exact"/>
              <w:rPr>
                <w:rFonts w:hint="eastAsia" w:ascii="方正书宋_GBK" w:eastAsia="方正书宋_GBK"/>
                <w:kern w:val="0"/>
                <w:sz w:val="21"/>
                <w:szCs w:val="21"/>
              </w:rPr>
            </w:pPr>
            <w:r>
              <w:rPr>
                <w:rFonts w:hint="eastAsia" w:ascii="方正书宋_GBK" w:eastAsia="方正书宋_GBK"/>
                <w:kern w:val="0"/>
                <w:sz w:val="21"/>
                <w:szCs w:val="21"/>
              </w:rPr>
              <w:t>机动车维修经营许可</w:t>
            </w:r>
          </w:p>
        </w:tc>
        <w:tc>
          <w:tcPr>
            <w:tcW w:w="1834" w:type="dxa"/>
            <w:vAlign w:val="center"/>
          </w:tcPr>
          <w:p>
            <w:pPr>
              <w:adjustRightInd w:val="0"/>
              <w:snapToGrid w:val="0"/>
              <w:spacing w:line="292" w:lineRule="exact"/>
              <w:rPr>
                <w:rFonts w:hint="eastAsia" w:ascii="方正书宋_GBK" w:eastAsia="方正书宋_GBK"/>
                <w:kern w:val="0"/>
                <w:sz w:val="21"/>
                <w:szCs w:val="21"/>
              </w:rPr>
            </w:pPr>
            <w:r>
              <w:rPr>
                <w:rFonts w:hint="eastAsia" w:ascii="方正书宋_GBK" w:eastAsia="方正书宋_GBK"/>
                <w:kern w:val="0"/>
                <w:sz w:val="21"/>
                <w:szCs w:val="21"/>
              </w:rPr>
              <w:t>县级道路运输管理机构</w:t>
            </w:r>
          </w:p>
        </w:tc>
        <w:tc>
          <w:tcPr>
            <w:tcW w:w="3708" w:type="dxa"/>
            <w:vAlign w:val="center"/>
          </w:tcPr>
          <w:p>
            <w:pPr>
              <w:adjustRightInd w:val="0"/>
              <w:snapToGrid w:val="0"/>
              <w:spacing w:line="292" w:lineRule="exact"/>
              <w:rPr>
                <w:rFonts w:hint="eastAsia" w:ascii="方正书宋_GBK" w:eastAsia="方正书宋_GBK"/>
                <w:kern w:val="0"/>
                <w:sz w:val="21"/>
                <w:szCs w:val="21"/>
              </w:rPr>
            </w:pPr>
            <w:r>
              <w:rPr>
                <w:rFonts w:hint="eastAsia" w:ascii="方正书宋_GBK" w:eastAsia="方正书宋_GBK"/>
                <w:kern w:val="0"/>
                <w:sz w:val="21"/>
                <w:szCs w:val="21"/>
              </w:rPr>
              <w:t>《中华人民共和国道路运输条例》（2004年4月30日国务院令第406号，2016年2月6日予以修改）</w:t>
            </w:r>
          </w:p>
        </w:tc>
        <w:tc>
          <w:tcPr>
            <w:tcW w:w="4578" w:type="dxa"/>
            <w:vAlign w:val="center"/>
          </w:tcPr>
          <w:p>
            <w:pPr>
              <w:adjustRightInd w:val="0"/>
              <w:snapToGrid w:val="0"/>
              <w:spacing w:line="292" w:lineRule="exact"/>
              <w:rPr>
                <w:rFonts w:hint="eastAsia" w:ascii="方正书宋_GBK" w:eastAsia="方正书宋_GBK"/>
                <w:kern w:val="0"/>
                <w:sz w:val="21"/>
                <w:szCs w:val="21"/>
              </w:rPr>
            </w:pPr>
            <w:r>
              <w:rPr>
                <w:rFonts w:hint="eastAsia" w:ascii="方正书宋_GBK" w:eastAsia="方正书宋_GBK"/>
                <w:kern w:val="0"/>
                <w:sz w:val="21"/>
                <w:szCs w:val="21"/>
              </w:rPr>
              <w:t>取消审批后，交通运输主管部门根据交通运输部制定完善并公布的维修业务标准，通过以下措施加强事中事后监管：1．建立健全机动车维修经营备案制度，及时公布相关信息。2．要求机动车维修企业严格按照标准开展维修业务，维修服务完成后应提供明细单，作为车主追责依据。3．加强对机动车维修行为的监管，对维修企业出现违法违规行为，依法予以处罚。4．建立“黑名单”制度，深入推进维修诚信体系建设。</w:t>
            </w:r>
          </w:p>
        </w:tc>
        <w:tc>
          <w:tcPr>
            <w:tcW w:w="1115" w:type="dxa"/>
            <w:vAlign w:val="center"/>
          </w:tcPr>
          <w:p>
            <w:pPr>
              <w:adjustRightInd w:val="0"/>
              <w:snapToGrid w:val="0"/>
              <w:spacing w:line="292" w:lineRule="exact"/>
              <w:rPr>
                <w:rFonts w:hint="eastAsia" w:ascii="方正书宋_GBK"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929" w:hRule="atLeast"/>
          <w:jc w:val="center"/>
        </w:trPr>
        <w:tc>
          <w:tcPr>
            <w:tcW w:w="533" w:type="dxa"/>
            <w:vAlign w:val="center"/>
          </w:tcPr>
          <w:p>
            <w:pPr>
              <w:adjustRightInd w:val="0"/>
              <w:snapToGrid w:val="0"/>
              <w:spacing w:line="300" w:lineRule="exact"/>
              <w:jc w:val="center"/>
              <w:rPr>
                <w:rFonts w:hint="eastAsia" w:ascii="方正书宋_GBK" w:eastAsia="方正书宋_GBK"/>
                <w:kern w:val="0"/>
                <w:sz w:val="21"/>
                <w:szCs w:val="21"/>
              </w:rPr>
            </w:pPr>
            <w:r>
              <w:rPr>
                <w:rFonts w:hint="eastAsia" w:ascii="方正书宋_GBK" w:eastAsia="方正书宋_GBK"/>
                <w:kern w:val="0"/>
                <w:sz w:val="21"/>
                <w:szCs w:val="21"/>
              </w:rPr>
              <w:t>4</w:t>
            </w:r>
          </w:p>
        </w:tc>
        <w:tc>
          <w:tcPr>
            <w:tcW w:w="1330"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外商投资道路运输业立项审批</w:t>
            </w:r>
          </w:p>
        </w:tc>
        <w:tc>
          <w:tcPr>
            <w:tcW w:w="1834"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自治区交通运输厅</w:t>
            </w:r>
          </w:p>
        </w:tc>
        <w:tc>
          <w:tcPr>
            <w:tcW w:w="3708"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《中华人民共和国外资企业法》（1986年4月12日主席令第39号，2016年9月3日予以修改）</w:t>
            </w:r>
          </w:p>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《国务院关于取消和下放一批行政审批项目的决定》（国发〔2013〕44号）</w:t>
            </w:r>
          </w:p>
        </w:tc>
        <w:tc>
          <w:tcPr>
            <w:tcW w:w="4578"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取消审批后，自治区交通运输厅通过以下措施加强事中事后监管：1．外商投资道路运输业享受国民待遇，严格按照国内道路运输经营相关规定进行管理，依法办理“道路旅客运输经营许可”、“道路货运经营许可”等相关行政许可事项，保障市场主体的相关权益。2．落实大数据监管、信用监管、“双随机”抽查、综合执法等事中事后监管措施，对违法违规行为，依法进行处罚，协同监管部门实施联合惩戒。</w:t>
            </w:r>
          </w:p>
        </w:tc>
        <w:tc>
          <w:tcPr>
            <w:tcW w:w="1115" w:type="dxa"/>
            <w:vAlign w:val="center"/>
          </w:tcPr>
          <w:p>
            <w:pPr>
              <w:adjustRightInd w:val="0"/>
              <w:snapToGrid w:val="0"/>
              <w:spacing w:line="300" w:lineRule="exact"/>
              <w:rPr>
                <w:rFonts w:hint="eastAsia" w:ascii="方正书宋_GBK"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166" w:hRule="atLeast"/>
          <w:jc w:val="center"/>
        </w:trPr>
        <w:tc>
          <w:tcPr>
            <w:tcW w:w="533" w:type="dxa"/>
            <w:vAlign w:val="center"/>
          </w:tcPr>
          <w:p>
            <w:pPr>
              <w:adjustRightInd w:val="0"/>
              <w:snapToGrid w:val="0"/>
              <w:spacing w:line="300" w:lineRule="exact"/>
              <w:jc w:val="center"/>
              <w:rPr>
                <w:rFonts w:hint="eastAsia" w:ascii="方正书宋_GBK" w:eastAsia="方正书宋_GBK"/>
                <w:kern w:val="0"/>
                <w:sz w:val="21"/>
                <w:szCs w:val="21"/>
              </w:rPr>
            </w:pPr>
            <w:r>
              <w:rPr>
                <w:rFonts w:hint="eastAsia" w:ascii="方正书宋_GBK" w:eastAsia="方正书宋_GBK"/>
                <w:kern w:val="0"/>
                <w:sz w:val="21"/>
                <w:szCs w:val="21"/>
              </w:rPr>
              <w:t>5</w:t>
            </w:r>
          </w:p>
        </w:tc>
        <w:tc>
          <w:tcPr>
            <w:tcW w:w="1330" w:type="dxa"/>
            <w:vAlign w:val="center"/>
          </w:tcPr>
          <w:p>
            <w:pPr>
              <w:adjustRightInd w:val="0"/>
              <w:snapToGrid w:val="0"/>
              <w:spacing w:line="300" w:lineRule="exact"/>
              <w:rPr>
                <w:rFonts w:hint="eastAsia" w:ascii="方正书宋_GBK" w:eastAsia="方正书宋_GBK"/>
                <w:spacing w:val="-4"/>
                <w:kern w:val="0"/>
                <w:sz w:val="21"/>
                <w:szCs w:val="21"/>
              </w:rPr>
            </w:pPr>
            <w:r>
              <w:rPr>
                <w:rFonts w:hint="eastAsia" w:ascii="方正书宋_GBK" w:eastAsia="方正书宋_GBK"/>
                <w:spacing w:val="-4"/>
                <w:kern w:val="0"/>
                <w:sz w:val="21"/>
                <w:szCs w:val="21"/>
              </w:rPr>
              <w:t>农业机械维修技术合格证核发</w:t>
            </w:r>
          </w:p>
        </w:tc>
        <w:tc>
          <w:tcPr>
            <w:tcW w:w="1834"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县级农业机械化主管部门</w:t>
            </w:r>
          </w:p>
        </w:tc>
        <w:tc>
          <w:tcPr>
            <w:tcW w:w="3708"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《农业机械安全监督管理条例》（2009年9月17日国务院令第563号，2016年2月6日予以修改）</w:t>
            </w:r>
          </w:p>
        </w:tc>
        <w:tc>
          <w:tcPr>
            <w:tcW w:w="4578"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取消审批后，农业机械化主管部门根据农业农村部制定完善的农业机械维修相关标准和规范，通过以下措施加强事中事后监管：1．规范维修企业服务，引导维修企业推行承诺服务制，加强行业自律，要求维修企业提供服务明细单，作为消费者追责依据。2．加强修理人员技能培训，提高维修队伍能力和水平。3．加大对农机维修企业的抽查检查力度，严厉处罚违法违规行为，处罚结果记入信用平台，实行联合惩戒。4．畅通农机维修质量投诉渠道，有效维护消费者合法权益。</w:t>
            </w:r>
          </w:p>
        </w:tc>
        <w:tc>
          <w:tcPr>
            <w:tcW w:w="1115" w:type="dxa"/>
            <w:vAlign w:val="center"/>
          </w:tcPr>
          <w:p>
            <w:pPr>
              <w:adjustRightInd w:val="0"/>
              <w:snapToGrid w:val="0"/>
              <w:spacing w:line="300" w:lineRule="exact"/>
              <w:rPr>
                <w:rFonts w:hint="eastAsia" w:ascii="方正书宋_GBK"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272" w:hRule="atLeast"/>
          <w:jc w:val="center"/>
        </w:trPr>
        <w:tc>
          <w:tcPr>
            <w:tcW w:w="533" w:type="dxa"/>
            <w:vAlign w:val="center"/>
          </w:tcPr>
          <w:p>
            <w:pPr>
              <w:adjustRightInd w:val="0"/>
              <w:snapToGrid w:val="0"/>
              <w:spacing w:line="300" w:lineRule="exact"/>
              <w:jc w:val="center"/>
              <w:rPr>
                <w:rFonts w:hint="eastAsia" w:ascii="方正书宋_GBK" w:eastAsia="方正书宋_GBK"/>
                <w:kern w:val="0"/>
                <w:sz w:val="21"/>
                <w:szCs w:val="21"/>
              </w:rPr>
            </w:pPr>
            <w:r>
              <w:rPr>
                <w:rFonts w:hint="eastAsia" w:ascii="方正书宋_GBK" w:eastAsia="方正书宋_GBK"/>
                <w:kern w:val="0"/>
                <w:sz w:val="21"/>
                <w:szCs w:val="21"/>
              </w:rPr>
              <w:t>6</w:t>
            </w:r>
          </w:p>
        </w:tc>
        <w:tc>
          <w:tcPr>
            <w:tcW w:w="1330"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船舶进出渔港签证</w:t>
            </w:r>
          </w:p>
        </w:tc>
        <w:tc>
          <w:tcPr>
            <w:tcW w:w="1834"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县级渔业行政主管部门</w:t>
            </w:r>
          </w:p>
        </w:tc>
        <w:tc>
          <w:tcPr>
            <w:tcW w:w="3708"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《中华人民共和国渔港水域交通安全管理条例》（1989年7月3日国务院令第38号，2017年10月7日予以修改）</w:t>
            </w:r>
          </w:p>
        </w:tc>
        <w:tc>
          <w:tcPr>
            <w:tcW w:w="4578"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取消审批后，改为实行报告制度。渔业行政主管部门通过以下措施加强事中事后监管：1．明确进出港报告的内容，加强渔船管理，简化船舶进出港手续。2．通过信息系统或渔船身份识别系统掌握进出渔港船舶的状况。3．加强重点时段、重点渔船的管理，伏季休渔期保证休渔地区渔船回船籍港休渔，大力整治涉渔“三无”船舶。</w:t>
            </w:r>
          </w:p>
        </w:tc>
        <w:tc>
          <w:tcPr>
            <w:tcW w:w="1115" w:type="dxa"/>
            <w:vAlign w:val="center"/>
          </w:tcPr>
          <w:p>
            <w:pPr>
              <w:adjustRightInd w:val="0"/>
              <w:snapToGrid w:val="0"/>
              <w:spacing w:line="300" w:lineRule="exact"/>
              <w:rPr>
                <w:rFonts w:hint="eastAsia" w:ascii="方正书宋_GBK"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97" w:hRule="atLeast"/>
          <w:jc w:val="center"/>
        </w:trPr>
        <w:tc>
          <w:tcPr>
            <w:tcW w:w="533" w:type="dxa"/>
            <w:vAlign w:val="center"/>
          </w:tcPr>
          <w:p>
            <w:pPr>
              <w:adjustRightInd w:val="0"/>
              <w:snapToGrid w:val="0"/>
              <w:spacing w:line="300" w:lineRule="exact"/>
              <w:jc w:val="center"/>
              <w:rPr>
                <w:rFonts w:hint="eastAsia" w:ascii="方正书宋_GBK" w:eastAsia="方正书宋_GBK"/>
                <w:kern w:val="0"/>
                <w:sz w:val="21"/>
                <w:szCs w:val="21"/>
              </w:rPr>
            </w:pPr>
            <w:r>
              <w:rPr>
                <w:rFonts w:hint="eastAsia" w:ascii="方正书宋_GBK" w:eastAsia="方正书宋_GBK"/>
                <w:kern w:val="0"/>
                <w:sz w:val="21"/>
                <w:szCs w:val="21"/>
              </w:rPr>
              <w:t>7</w:t>
            </w:r>
          </w:p>
        </w:tc>
        <w:tc>
          <w:tcPr>
            <w:tcW w:w="1330"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国家重点保护水生野生动物及其产品进出口初审</w:t>
            </w:r>
          </w:p>
        </w:tc>
        <w:tc>
          <w:tcPr>
            <w:tcW w:w="1834"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自治区海洋和渔业厅</w:t>
            </w:r>
          </w:p>
        </w:tc>
        <w:tc>
          <w:tcPr>
            <w:tcW w:w="3708"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《中华人民共和国水生野生动物保护实施条例》（1993年9月17日国务院批准，1993年10月5日农业部令第1号发布，2013年12月7日予以修改）</w:t>
            </w:r>
          </w:p>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《中华人民共和国濒危野生动植物进出口管理条例》（2006年4月29日国务院令第465号，2018年3月19日予以修改）</w:t>
            </w:r>
          </w:p>
        </w:tc>
        <w:tc>
          <w:tcPr>
            <w:tcW w:w="4578"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取消地方初审后，由农业农村部直接受理审批。</w:t>
            </w:r>
          </w:p>
        </w:tc>
        <w:tc>
          <w:tcPr>
            <w:tcW w:w="1115" w:type="dxa"/>
            <w:vAlign w:val="center"/>
          </w:tcPr>
          <w:p>
            <w:pPr>
              <w:adjustRightInd w:val="0"/>
              <w:snapToGrid w:val="0"/>
              <w:spacing w:line="300" w:lineRule="exact"/>
              <w:rPr>
                <w:rFonts w:hint="eastAsia" w:ascii="方正书宋_GBK"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97" w:hRule="atLeast"/>
          <w:jc w:val="center"/>
        </w:trPr>
        <w:tc>
          <w:tcPr>
            <w:tcW w:w="533" w:type="dxa"/>
            <w:vAlign w:val="center"/>
          </w:tcPr>
          <w:p>
            <w:pPr>
              <w:adjustRightInd w:val="0"/>
              <w:snapToGrid w:val="0"/>
              <w:spacing w:line="300" w:lineRule="exact"/>
              <w:jc w:val="center"/>
              <w:rPr>
                <w:rFonts w:hint="eastAsia" w:ascii="方正书宋_GBK" w:eastAsia="方正书宋_GBK"/>
                <w:kern w:val="0"/>
                <w:sz w:val="21"/>
                <w:szCs w:val="21"/>
              </w:rPr>
            </w:pPr>
            <w:r>
              <w:rPr>
                <w:rFonts w:hint="eastAsia" w:ascii="方正书宋_GBK" w:eastAsia="方正书宋_GBK"/>
                <w:kern w:val="0"/>
                <w:sz w:val="21"/>
                <w:szCs w:val="21"/>
              </w:rPr>
              <w:t>8</w:t>
            </w:r>
          </w:p>
        </w:tc>
        <w:tc>
          <w:tcPr>
            <w:tcW w:w="1330"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国内企业在境外投资开办企业（金融企业除外）核准初审</w:t>
            </w:r>
          </w:p>
        </w:tc>
        <w:tc>
          <w:tcPr>
            <w:tcW w:w="1834"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自治区商务厅</w:t>
            </w:r>
          </w:p>
        </w:tc>
        <w:tc>
          <w:tcPr>
            <w:tcW w:w="3708"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《境外投资管理办法》（2014年9月6日商务部令2014年第3号）</w:t>
            </w:r>
          </w:p>
        </w:tc>
        <w:tc>
          <w:tcPr>
            <w:tcW w:w="4578"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取消地方初审后，由商务部直接受理审批。</w:t>
            </w:r>
          </w:p>
        </w:tc>
        <w:tc>
          <w:tcPr>
            <w:tcW w:w="1115" w:type="dxa"/>
            <w:vAlign w:val="center"/>
          </w:tcPr>
          <w:p>
            <w:pPr>
              <w:adjustRightInd w:val="0"/>
              <w:snapToGrid w:val="0"/>
              <w:spacing w:line="300" w:lineRule="exact"/>
              <w:rPr>
                <w:rFonts w:hint="eastAsia" w:ascii="方正书宋_GBK"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97" w:hRule="atLeast"/>
          <w:jc w:val="center"/>
        </w:trPr>
        <w:tc>
          <w:tcPr>
            <w:tcW w:w="533" w:type="dxa"/>
            <w:vAlign w:val="center"/>
          </w:tcPr>
          <w:p>
            <w:pPr>
              <w:adjustRightInd w:val="0"/>
              <w:snapToGrid w:val="0"/>
              <w:spacing w:line="300" w:lineRule="exact"/>
              <w:jc w:val="center"/>
              <w:rPr>
                <w:rFonts w:hint="eastAsia" w:ascii="方正书宋_GBK" w:eastAsia="方正书宋_GBK"/>
                <w:kern w:val="0"/>
                <w:sz w:val="21"/>
                <w:szCs w:val="21"/>
              </w:rPr>
            </w:pPr>
            <w:r>
              <w:rPr>
                <w:rFonts w:hint="eastAsia" w:ascii="方正书宋_GBK" w:eastAsia="方正书宋_GBK"/>
                <w:kern w:val="0"/>
                <w:sz w:val="21"/>
                <w:szCs w:val="21"/>
              </w:rPr>
              <w:t>9</w:t>
            </w:r>
          </w:p>
        </w:tc>
        <w:tc>
          <w:tcPr>
            <w:tcW w:w="1330"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设立分公司备案</w:t>
            </w:r>
          </w:p>
        </w:tc>
        <w:tc>
          <w:tcPr>
            <w:tcW w:w="1834"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自治区、设区市、县级工商行政管理部门</w:t>
            </w:r>
          </w:p>
        </w:tc>
        <w:tc>
          <w:tcPr>
            <w:tcW w:w="3708"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《中华人民共和国公司登记管理条例》（1994年6月24日国务院令第156号，2016年2月6日予以修改）</w:t>
            </w:r>
          </w:p>
        </w:tc>
        <w:tc>
          <w:tcPr>
            <w:tcW w:w="4578"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取消该事项后，工商和市场监管部门通过以下措施加强事中事后监管：建设维护信息系统，完善规章制度，明确分公司设立信息要及时推送、及时更新、及时掌握，加强监管。</w:t>
            </w:r>
          </w:p>
        </w:tc>
        <w:tc>
          <w:tcPr>
            <w:tcW w:w="1115" w:type="dxa"/>
            <w:vAlign w:val="center"/>
          </w:tcPr>
          <w:p>
            <w:pPr>
              <w:adjustRightInd w:val="0"/>
              <w:snapToGrid w:val="0"/>
              <w:spacing w:line="300" w:lineRule="exact"/>
              <w:rPr>
                <w:rFonts w:hint="eastAsia" w:ascii="方正书宋_GBK" w:eastAsia="方正书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97" w:hRule="atLeast"/>
          <w:jc w:val="center"/>
        </w:trPr>
        <w:tc>
          <w:tcPr>
            <w:tcW w:w="533" w:type="dxa"/>
            <w:vAlign w:val="center"/>
          </w:tcPr>
          <w:p>
            <w:pPr>
              <w:adjustRightInd w:val="0"/>
              <w:snapToGrid w:val="0"/>
              <w:spacing w:line="300" w:lineRule="exact"/>
              <w:jc w:val="center"/>
              <w:rPr>
                <w:rFonts w:hint="eastAsia" w:ascii="方正书宋_GBK" w:eastAsia="方正书宋_GBK"/>
                <w:kern w:val="0"/>
                <w:sz w:val="21"/>
                <w:szCs w:val="21"/>
              </w:rPr>
            </w:pPr>
            <w:r>
              <w:rPr>
                <w:rFonts w:hint="eastAsia" w:ascii="方正书宋_GBK" w:eastAsia="方正书宋_GBK"/>
                <w:kern w:val="0"/>
                <w:sz w:val="21"/>
                <w:szCs w:val="21"/>
              </w:rPr>
              <w:t>10</w:t>
            </w:r>
          </w:p>
        </w:tc>
        <w:tc>
          <w:tcPr>
            <w:tcW w:w="1330"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外商投资合伙企业设立、变更、注销分支机构备案</w:t>
            </w:r>
          </w:p>
        </w:tc>
        <w:tc>
          <w:tcPr>
            <w:tcW w:w="1834"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自治区、设区市工商行政管理部门，东兴市市场监督管理局</w:t>
            </w:r>
          </w:p>
        </w:tc>
        <w:tc>
          <w:tcPr>
            <w:tcW w:w="3708"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《外商投资合伙企业登记管理规定》（2014年2月20日原工商总局令第63号）</w:t>
            </w:r>
          </w:p>
        </w:tc>
        <w:tc>
          <w:tcPr>
            <w:tcW w:w="4578"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取消该事项后，工商和市场监管部门通过以下措施加强事中事后监管：建设维护好信息系统，完善规章制度，明确分支机构设立、变更、注销信息要及时推送、及时更新、及时掌握，加强部门协同监管。</w:t>
            </w:r>
          </w:p>
        </w:tc>
        <w:tc>
          <w:tcPr>
            <w:tcW w:w="1115"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根据原工商总局授权实施。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97" w:hRule="atLeast"/>
          <w:jc w:val="center"/>
        </w:trPr>
        <w:tc>
          <w:tcPr>
            <w:tcW w:w="533" w:type="dxa"/>
            <w:vAlign w:val="center"/>
          </w:tcPr>
          <w:p>
            <w:pPr>
              <w:adjustRightInd w:val="0"/>
              <w:snapToGrid w:val="0"/>
              <w:spacing w:line="300" w:lineRule="exact"/>
              <w:jc w:val="center"/>
              <w:rPr>
                <w:rFonts w:hint="eastAsia" w:ascii="方正书宋_GBK" w:eastAsia="方正书宋_GBK"/>
                <w:kern w:val="0"/>
                <w:sz w:val="21"/>
                <w:szCs w:val="21"/>
              </w:rPr>
            </w:pPr>
            <w:r>
              <w:rPr>
                <w:rFonts w:hint="eastAsia" w:ascii="方正书宋_GBK" w:eastAsia="方正书宋_GBK"/>
                <w:kern w:val="0"/>
                <w:sz w:val="21"/>
                <w:szCs w:val="21"/>
              </w:rPr>
              <w:t>11</w:t>
            </w:r>
          </w:p>
        </w:tc>
        <w:tc>
          <w:tcPr>
            <w:tcW w:w="1330"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营业执照作废声明</w:t>
            </w:r>
          </w:p>
        </w:tc>
        <w:tc>
          <w:tcPr>
            <w:tcW w:w="1834"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自治区、设区市、县级工商行政管理部门</w:t>
            </w:r>
          </w:p>
        </w:tc>
        <w:tc>
          <w:tcPr>
            <w:tcW w:w="3708"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《中华人民共和国公司登记管理条例》（1994年6月24日国务院令第156号，2016年2月6日予以修改）</w:t>
            </w:r>
          </w:p>
        </w:tc>
        <w:tc>
          <w:tcPr>
            <w:tcW w:w="4578" w:type="dxa"/>
            <w:vAlign w:val="center"/>
          </w:tcPr>
          <w:p>
            <w:pPr>
              <w:adjustRightInd w:val="0"/>
              <w:snapToGrid w:val="0"/>
              <w:spacing w:line="300" w:lineRule="exact"/>
              <w:rPr>
                <w:rFonts w:hint="eastAsia" w:ascii="方正书宋_GBK" w:eastAsia="方正书宋_GBK"/>
                <w:kern w:val="0"/>
                <w:sz w:val="21"/>
                <w:szCs w:val="21"/>
              </w:rPr>
            </w:pPr>
            <w:r>
              <w:rPr>
                <w:rFonts w:hint="eastAsia" w:ascii="方正书宋_GBK" w:eastAsia="方正书宋_GBK"/>
                <w:kern w:val="0"/>
                <w:sz w:val="21"/>
                <w:szCs w:val="21"/>
              </w:rPr>
              <w:t>取消该事项后，工商和市场监管部门采取以下管理措施加强事中事后监管：对营业执照遗失或损毁申请补领的，不再要求申请人委托媒体刊登作废声明，改为在审批部门官方网站免费发布公告。</w:t>
            </w:r>
          </w:p>
        </w:tc>
        <w:tc>
          <w:tcPr>
            <w:tcW w:w="1115" w:type="dxa"/>
            <w:vAlign w:val="top"/>
          </w:tcPr>
          <w:p>
            <w:pPr>
              <w:adjustRightInd w:val="0"/>
              <w:snapToGrid w:val="0"/>
              <w:spacing w:line="300" w:lineRule="exact"/>
              <w:rPr>
                <w:rFonts w:hint="eastAsia" w:ascii="方正书宋_GBK" w:eastAsia="方正书宋_GBK"/>
                <w:kern w:val="0"/>
                <w:sz w:val="21"/>
                <w:szCs w:val="21"/>
              </w:rPr>
            </w:pPr>
          </w:p>
        </w:tc>
      </w:tr>
    </w:tbl>
    <w:p/>
    <w:sectPr>
      <w:pgSz w:w="16838" w:h="11906" w:orient="landscape"/>
      <w:pgMar w:top="1417" w:right="1928" w:bottom="1417" w:left="1814"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77A62"/>
    <w:rsid w:val="0B177A62"/>
    <w:rsid w:val="24171F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0"/>
      <w:szCs w:val="30"/>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2018-10-31T07:26:00Z</dcterms:created>
  <dc:creator>dengd</dc:creator>
  <cp:lastModifiedBy>dengd</cp:lastModifiedBy>
  <dcterms:modified xsi:type="dcterms:W3CDTF">2018-10-31T07:27:22Z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