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Lines="0" w:line="600" w:lineRule="exact"/>
        <w:jc w:val="lef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Times New Roman" w:hAnsi="Times New Roman" w:eastAsia="黑体" w:cs="黑体"/>
          <w:color w:val="000000"/>
        </w:rPr>
        <w:t>2</w:t>
      </w:r>
    </w:p>
    <w:p>
      <w:pPr>
        <w:keepNext/>
        <w:spacing w:before="0" w:beforeLines="0" w:line="600" w:lineRule="exact"/>
        <w:jc w:val="center"/>
        <w:rPr>
          <w:rFonts w:ascii="方正小标宋简体" w:hAnsi="方正小标宋简体" w:eastAsia="方正小标宋简体" w:cs="方正小标宋简体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第三届全球数字贸易博览会简介</w:t>
      </w:r>
    </w:p>
    <w:p>
      <w:pPr>
        <w:keepNext/>
        <w:spacing w:beforeLines="0" w:line="600" w:lineRule="exact"/>
        <w:rPr>
          <w:rFonts w:ascii="Times New Roman"/>
          <w:color w:val="FF0000"/>
          <w:lang w:bidi="zh-CN"/>
        </w:rPr>
      </w:pPr>
    </w:p>
    <w:p>
      <w:pPr>
        <w:keepNext/>
        <w:spacing w:beforeLines="0" w:line="600" w:lineRule="exact"/>
        <w:ind w:firstLine="640" w:firstLineChars="200"/>
        <w:rPr>
          <w:rFonts w:ascii="Times New Roman"/>
          <w:lang w:bidi="zh-CN"/>
        </w:rPr>
      </w:pPr>
      <w:r>
        <w:rPr>
          <w:rFonts w:hint="eastAsia" w:ascii="Times New Roman"/>
          <w:lang w:bidi="zh-CN"/>
        </w:rPr>
        <w:t>为深入贯彻习近平总书记致第二届全球数字贸易博览会（</w:t>
      </w:r>
      <w:r>
        <w:rPr>
          <w:rFonts w:hint="eastAsia" w:ascii="Times New Roman"/>
          <w:lang w:val="zh-TW" w:bidi="zh-CN"/>
        </w:rPr>
        <w:t>以下简称“数贸会”</w:t>
      </w:r>
      <w:r>
        <w:rPr>
          <w:rFonts w:hint="eastAsia" w:ascii="Times New Roman"/>
          <w:lang w:bidi="zh-CN"/>
        </w:rPr>
        <w:t>）贺信精神，坚决落实党中央、国务院关于开展党政机关举办展会活动清理规范工作的决策部署，高标准、高质量办好第三届数贸会，特制订本方案。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outlineLvl w:val="0"/>
        <w:rPr>
          <w:rFonts w:ascii="Times New Roman" w:eastAsia="黑体"/>
          <w:lang w:bidi="zh-CN"/>
        </w:rPr>
      </w:pPr>
      <w:r>
        <w:rPr>
          <w:rFonts w:ascii="Times New Roman" w:eastAsia="黑体"/>
          <w:lang w:val="zh-CN" w:bidi="zh-CN"/>
        </w:rPr>
        <w:t>一、指导思想</w:t>
      </w:r>
    </w:p>
    <w:p>
      <w:pPr>
        <w:keepNext/>
        <w:spacing w:beforeLines="0" w:line="600" w:lineRule="exact"/>
        <w:ind w:firstLine="640" w:firstLineChars="200"/>
        <w:rPr>
          <w:rFonts w:ascii="Times New Roman"/>
          <w:lang w:bidi="zh-CN"/>
        </w:rPr>
      </w:pPr>
      <w:r>
        <w:rPr>
          <w:rFonts w:hint="eastAsia" w:ascii="Times New Roman"/>
          <w:lang w:bidi="zh-CN"/>
        </w:rPr>
        <w:t>以</w:t>
      </w:r>
      <w:r>
        <w:rPr>
          <w:rFonts w:ascii="Times New Roman"/>
          <w:lang w:val="zh-TW" w:bidi="zh-CN"/>
        </w:rPr>
        <w:t>习近平</w:t>
      </w:r>
      <w:r>
        <w:rPr>
          <w:rFonts w:hint="eastAsia" w:ascii="Times New Roman"/>
          <w:lang w:bidi="zh-CN"/>
        </w:rPr>
        <w:t>新时代中国特色社会主义思想为指导，全面贯彻党的二十大和二十届一中、二中全会精神，以及中央经济工作会议关于扩大高水平对外开放和今年《政府工作报告》关于“办好数贸会等重大展会”等决策部署，按照发展新质生产力、推进高质量发展的要求，充分发挥数贸会“共商合作、共促发展、共享成果”的平台作用，广泛挖掘全球数字贸易领域优质资源，做精做优市场化办展模式，持续提升办会实效，推动数贸会成为国际公共</w:t>
      </w:r>
      <w:r>
        <w:rPr>
          <w:rFonts w:ascii="Times New Roman"/>
          <w:lang w:bidi="zh-CN"/>
        </w:rPr>
        <w:t>服务</w:t>
      </w:r>
      <w:r>
        <w:rPr>
          <w:rFonts w:hint="eastAsia" w:ascii="Times New Roman"/>
          <w:lang w:bidi="zh-CN"/>
        </w:rPr>
        <w:t>产品，促进世界各国共享数字贸易发展机遇，带动全球产业链、供应链、价值链加速整合优化，携手将数字贸易打造成为共同发展的新引擎，为世界经济增长注入新动能，为构建开放型世界经济贡献力量。</w:t>
      </w:r>
    </w:p>
    <w:p>
      <w:pPr>
        <w:keepNext/>
        <w:numPr>
          <w:ilvl w:val="0"/>
          <w:numId w:val="1"/>
        </w:numPr>
        <w:adjustRightInd w:val="0"/>
        <w:snapToGrid w:val="0"/>
        <w:spacing w:beforeLines="0" w:line="600" w:lineRule="exact"/>
        <w:ind w:firstLine="640" w:firstLineChars="200"/>
        <w:outlineLvl w:val="0"/>
        <w:rPr>
          <w:rFonts w:ascii="Times New Roman" w:eastAsia="黑体"/>
          <w:lang w:bidi="zh-CN"/>
        </w:rPr>
      </w:pPr>
      <w:r>
        <w:rPr>
          <w:rFonts w:hint="eastAsia" w:ascii="Times New Roman" w:eastAsia="黑体"/>
          <w:lang w:bidi="zh-CN"/>
        </w:rPr>
        <w:t>基本情况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 w:eastAsia="楷体_GB2312"/>
          <w:lang w:bidi="zh-CN"/>
        </w:rPr>
      </w:pPr>
      <w:r>
        <w:rPr>
          <w:rFonts w:hint="eastAsia" w:ascii="Times New Roman" w:eastAsia="楷体_GB2312"/>
          <w:lang w:bidi="zh-CN"/>
        </w:rPr>
        <w:t>展</w:t>
      </w:r>
      <w:r>
        <w:rPr>
          <w:rFonts w:ascii="Times New Roman" w:eastAsia="楷体_GB2312"/>
          <w:lang w:bidi="zh-CN"/>
        </w:rPr>
        <w:t>会名称：</w:t>
      </w:r>
      <w:r>
        <w:rPr>
          <w:rFonts w:hint="eastAsia" w:ascii="Times New Roman"/>
          <w:lang w:bidi="zh-CN"/>
        </w:rPr>
        <w:t>第三届</w:t>
      </w:r>
      <w:r>
        <w:rPr>
          <w:rFonts w:ascii="Times New Roman"/>
          <w:lang w:bidi="zh-CN"/>
        </w:rPr>
        <w:t>全球数字贸易博览会</w:t>
      </w:r>
      <w:r>
        <w:rPr>
          <w:rFonts w:hint="eastAsia" w:ascii="Times New Roman"/>
          <w:lang w:bidi="zh-CN"/>
        </w:rPr>
        <w:t>（</w:t>
      </w:r>
      <w:r>
        <w:rPr>
          <w:rFonts w:ascii="Times New Roman"/>
          <w:lang w:bidi="zh-CN"/>
        </w:rPr>
        <w:t>The</w:t>
      </w:r>
      <w:r>
        <w:rPr>
          <w:rFonts w:hint="eastAsia" w:ascii="Times New Roman"/>
          <w:lang w:bidi="zh-CN"/>
        </w:rPr>
        <w:t>Third</w:t>
      </w:r>
      <w:r>
        <w:rPr>
          <w:rFonts w:ascii="Times New Roman"/>
          <w:lang w:bidi="zh-CN"/>
        </w:rPr>
        <w:t>GlobalDigitalTradeExpo</w:t>
      </w:r>
      <w:r>
        <w:rPr>
          <w:rFonts w:hint="eastAsia" w:ascii="Times New Roman"/>
          <w:lang w:bidi="zh-CN"/>
        </w:rPr>
        <w:t>，简称“GDTE”）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/>
          <w:lang w:val="zh-CN" w:bidi="zh-CN"/>
        </w:rPr>
      </w:pPr>
      <w:r>
        <w:rPr>
          <w:rFonts w:ascii="Times New Roman" w:eastAsia="楷体_GB2312"/>
          <w:lang w:bidi="zh-CN"/>
        </w:rPr>
        <w:t>主办单位：</w:t>
      </w:r>
      <w:r>
        <w:rPr>
          <w:rFonts w:ascii="Times New Roman"/>
          <w:lang w:val="zh-CN" w:bidi="zh-CN"/>
        </w:rPr>
        <w:t>浙江省</w:t>
      </w:r>
      <w:r>
        <w:rPr>
          <w:rFonts w:hint="eastAsia" w:ascii="Times New Roman"/>
          <w:lang w:bidi="zh-CN"/>
        </w:rPr>
        <w:t>人民</w:t>
      </w:r>
      <w:r>
        <w:rPr>
          <w:rFonts w:ascii="Times New Roman"/>
          <w:lang w:val="zh-CN" w:bidi="zh-CN"/>
        </w:rPr>
        <w:t>政府</w:t>
      </w:r>
      <w:r>
        <w:rPr>
          <w:rFonts w:hint="eastAsia" w:ascii="Times New Roman"/>
          <w:lang w:val="zh-CN" w:bidi="zh-CN"/>
        </w:rPr>
        <w:t>、</w:t>
      </w:r>
      <w:r>
        <w:rPr>
          <w:rFonts w:ascii="Times New Roman"/>
          <w:lang w:val="zh-CN" w:bidi="zh-CN"/>
        </w:rPr>
        <w:t>商务部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Calibri" w:hAnsi="Calibri" w:eastAsia="宋体"/>
          <w:sz w:val="21"/>
          <w:szCs w:val="24"/>
        </w:rPr>
      </w:pPr>
      <w:r>
        <w:rPr>
          <w:rFonts w:ascii="Times New Roman" w:eastAsia="楷体_GB2312"/>
          <w:lang w:bidi="zh-CN"/>
        </w:rPr>
        <w:t>承办单位：</w:t>
      </w:r>
      <w:r>
        <w:rPr>
          <w:rFonts w:ascii="Times New Roman"/>
          <w:lang w:val="zh-CN" w:bidi="zh-CN"/>
        </w:rPr>
        <w:t>杭州市</w:t>
      </w:r>
      <w:r>
        <w:rPr>
          <w:rFonts w:hint="eastAsia" w:ascii="Times New Roman"/>
          <w:lang w:bidi="zh-CN"/>
        </w:rPr>
        <w:t>人民</w:t>
      </w:r>
      <w:r>
        <w:rPr>
          <w:rFonts w:ascii="Times New Roman"/>
          <w:lang w:val="zh-CN" w:bidi="zh-CN"/>
        </w:rPr>
        <w:t>政府</w:t>
      </w:r>
      <w:r>
        <w:rPr>
          <w:rFonts w:hint="eastAsia" w:ascii="Times New Roman"/>
          <w:lang w:val="zh-CN" w:bidi="zh-CN"/>
        </w:rPr>
        <w:t>、</w:t>
      </w:r>
      <w:r>
        <w:rPr>
          <w:rFonts w:ascii="Times New Roman"/>
          <w:lang w:val="zh-CN" w:bidi="zh-CN"/>
        </w:rPr>
        <w:t>浙江省商务厅</w:t>
      </w:r>
      <w:r>
        <w:rPr>
          <w:rFonts w:hint="eastAsia" w:ascii="Times New Roman"/>
          <w:lang w:val="zh-CN" w:bidi="zh-CN"/>
        </w:rPr>
        <w:t>、</w:t>
      </w:r>
      <w:r>
        <w:rPr>
          <w:rFonts w:ascii="Times New Roman"/>
          <w:lang w:val="zh-CN" w:bidi="zh-CN"/>
        </w:rPr>
        <w:t>商务部</w:t>
      </w:r>
      <w:r>
        <w:rPr>
          <w:rFonts w:hint="eastAsia" w:ascii="Times New Roman"/>
          <w:lang w:bidi="zh-CN"/>
        </w:rPr>
        <w:t>外贸发展事务</w:t>
      </w:r>
      <w:r>
        <w:rPr>
          <w:rFonts w:ascii="Times New Roman"/>
          <w:lang w:val="zh-CN" w:bidi="zh-CN"/>
        </w:rPr>
        <w:t>局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/>
          <w:lang w:bidi="zh-CN"/>
        </w:rPr>
      </w:pPr>
      <w:r>
        <w:rPr>
          <w:rFonts w:hint="eastAsia" w:ascii="Times New Roman" w:eastAsia="楷体_GB2312"/>
          <w:lang w:bidi="zh-CN"/>
        </w:rPr>
        <w:t>展</w:t>
      </w:r>
      <w:r>
        <w:rPr>
          <w:rFonts w:ascii="Times New Roman" w:eastAsia="楷体_GB2312"/>
          <w:lang w:bidi="zh-CN"/>
        </w:rPr>
        <w:t>会</w:t>
      </w:r>
      <w:r>
        <w:rPr>
          <w:rFonts w:ascii="Times New Roman" w:eastAsia="楷体_GB2312"/>
          <w:lang w:val="zh-CN" w:bidi="zh-CN"/>
        </w:rPr>
        <w:t>主题</w:t>
      </w:r>
      <w:r>
        <w:rPr>
          <w:rFonts w:ascii="Times New Roman" w:eastAsia="楷体_GB2312"/>
          <w:lang w:bidi="zh-CN"/>
        </w:rPr>
        <w:t>：</w:t>
      </w:r>
      <w:r>
        <w:rPr>
          <w:rFonts w:ascii="Times New Roman"/>
          <w:lang w:bidi="zh-CN"/>
        </w:rPr>
        <w:t>数字贸易商通全球</w:t>
      </w:r>
      <w:r>
        <w:rPr>
          <w:rFonts w:hint="eastAsia" w:ascii="Times New Roman"/>
          <w:lang w:bidi="zh-CN"/>
        </w:rPr>
        <w:t>（</w:t>
      </w:r>
      <w:r>
        <w:rPr>
          <w:rFonts w:ascii="Times New Roman"/>
          <w:lang w:bidi="zh-CN"/>
        </w:rPr>
        <w:t>DigitalTrade,GlobalAccess</w:t>
      </w:r>
      <w:r>
        <w:rPr>
          <w:rFonts w:hint="eastAsia" w:ascii="Times New Roman"/>
          <w:lang w:bidi="zh-CN"/>
        </w:rPr>
        <w:t>）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/>
          <w:lang w:bidi="zh-CN"/>
        </w:rPr>
      </w:pPr>
      <w:r>
        <w:rPr>
          <w:rFonts w:ascii="Times New Roman" w:eastAsia="楷体_GB2312"/>
          <w:lang w:bidi="zh-CN"/>
        </w:rPr>
        <w:t>举办</w:t>
      </w:r>
      <w:r>
        <w:rPr>
          <w:rFonts w:ascii="Times New Roman" w:eastAsia="楷体_GB2312"/>
          <w:lang w:val="zh-CN" w:bidi="zh-CN"/>
        </w:rPr>
        <w:t>时间</w:t>
      </w:r>
      <w:r>
        <w:rPr>
          <w:rFonts w:ascii="Times New Roman" w:eastAsia="楷体_GB2312"/>
          <w:lang w:bidi="zh-CN"/>
        </w:rPr>
        <w:t>：</w:t>
      </w:r>
      <w:r>
        <w:rPr>
          <w:rFonts w:ascii="Times New Roman"/>
          <w:color w:val="000000"/>
          <w:lang w:bidi="zh-CN"/>
        </w:rPr>
        <w:t>202</w:t>
      </w:r>
      <w:r>
        <w:rPr>
          <w:rFonts w:hint="eastAsia" w:ascii="Times New Roman"/>
          <w:color w:val="000000"/>
          <w:lang w:bidi="zh-CN"/>
        </w:rPr>
        <w:t>4</w:t>
      </w:r>
      <w:r>
        <w:rPr>
          <w:rFonts w:ascii="Times New Roman"/>
          <w:color w:val="000000"/>
          <w:lang w:val="zh-CN" w:bidi="zh-CN"/>
        </w:rPr>
        <w:t>年</w:t>
      </w:r>
      <w:r>
        <w:rPr>
          <w:rFonts w:hint="eastAsia" w:ascii="Times New Roman"/>
          <w:color w:val="000000"/>
          <w:lang w:bidi="zh-CN"/>
        </w:rPr>
        <w:t>9</w:t>
      </w:r>
      <w:r>
        <w:rPr>
          <w:rFonts w:ascii="Times New Roman"/>
          <w:color w:val="000000"/>
          <w:lang w:bidi="zh-CN"/>
        </w:rPr>
        <w:t>月2</w:t>
      </w:r>
      <w:r>
        <w:rPr>
          <w:rFonts w:hint="eastAsia" w:ascii="Times New Roman"/>
          <w:color w:val="000000"/>
          <w:lang w:bidi="zh-CN"/>
        </w:rPr>
        <w:t>5日</w:t>
      </w:r>
      <w:r>
        <w:rPr>
          <w:rFonts w:ascii="Times New Roman"/>
          <w:color w:val="000000"/>
          <w:lang w:bidi="zh-CN"/>
        </w:rPr>
        <w:t>—2</w:t>
      </w:r>
      <w:r>
        <w:rPr>
          <w:rFonts w:hint="eastAsia" w:ascii="Times New Roman"/>
          <w:color w:val="000000"/>
          <w:lang w:bidi="zh-CN"/>
        </w:rPr>
        <w:t>9</w:t>
      </w:r>
      <w:r>
        <w:rPr>
          <w:rFonts w:ascii="Times New Roman"/>
          <w:color w:val="000000"/>
          <w:lang w:bidi="zh-CN"/>
        </w:rPr>
        <w:t>日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 w:eastAsia="楷体_GB2312"/>
          <w:lang w:bidi="zh-CN"/>
        </w:rPr>
      </w:pPr>
      <w:r>
        <w:rPr>
          <w:rFonts w:ascii="Times New Roman" w:eastAsia="楷体_GB2312"/>
          <w:lang w:bidi="zh-CN"/>
        </w:rPr>
        <w:t>展会</w:t>
      </w:r>
      <w:r>
        <w:rPr>
          <w:rFonts w:ascii="Times New Roman" w:eastAsia="楷体_GB2312"/>
          <w:lang w:val="zh-CN" w:bidi="zh-CN"/>
        </w:rPr>
        <w:t>地点</w:t>
      </w:r>
      <w:r>
        <w:rPr>
          <w:rFonts w:ascii="Times New Roman" w:eastAsia="楷体_GB2312"/>
          <w:lang w:bidi="zh-CN"/>
        </w:rPr>
        <w:t>：</w:t>
      </w:r>
      <w:r>
        <w:rPr>
          <w:rFonts w:ascii="Times New Roman"/>
          <w:lang w:val="zh-CN" w:bidi="zh-CN"/>
        </w:rPr>
        <w:t>浙江杭州</w:t>
      </w:r>
    </w:p>
    <w:p>
      <w:pPr>
        <w:keepNext/>
        <w:spacing w:beforeLines="0" w:after="0" w:line="600" w:lineRule="exact"/>
        <w:ind w:left="0" w:leftChars="0" w:firstLine="640" w:firstLineChars="200"/>
        <w:outlineLvl w:val="0"/>
        <w:rPr>
          <w:rFonts w:ascii="Times New Roman" w:eastAsia="黑体"/>
          <w:lang w:bidi="zh-CN"/>
        </w:rPr>
      </w:pPr>
      <w:r>
        <w:rPr>
          <w:rFonts w:ascii="Times New Roman" w:eastAsia="黑体"/>
          <w:lang w:bidi="zh-CN"/>
        </w:rPr>
        <w:t>三、工作目标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 w:eastAsia="宋体"/>
        </w:rPr>
      </w:pPr>
      <w:r>
        <w:rPr>
          <w:rFonts w:hAnsi="仿宋_GB2312" w:cs="仿宋_GB2312"/>
          <w:bCs/>
          <w:lang w:val="zh-CN" w:bidi="zh-CN"/>
        </w:rPr>
        <w:t>遵循</w:t>
      </w:r>
      <w:r>
        <w:rPr>
          <w:rFonts w:hint="eastAsia" w:hAnsi="仿宋_GB2312" w:cs="仿宋_GB2312"/>
          <w:bCs/>
          <w:lang w:val="zh-CN" w:bidi="zh-CN"/>
        </w:rPr>
        <w:t>“</w:t>
      </w:r>
      <w:r>
        <w:rPr>
          <w:rFonts w:hAnsi="仿宋_GB2312" w:cs="仿宋_GB2312"/>
          <w:bCs/>
          <w:lang w:val="zh-CN" w:bidi="zh-CN"/>
        </w:rPr>
        <w:t>政府</w:t>
      </w:r>
      <w:r>
        <w:rPr>
          <w:rFonts w:hint="eastAsia" w:hAnsi="仿宋_GB2312" w:cs="仿宋_GB2312"/>
          <w:bCs/>
          <w:lang w:bidi="zh-CN"/>
        </w:rPr>
        <w:t>引导</w:t>
      </w:r>
      <w:r>
        <w:rPr>
          <w:rFonts w:hAnsi="仿宋_GB2312" w:cs="仿宋_GB2312"/>
          <w:bCs/>
          <w:lang w:val="zh-CN" w:bidi="zh-CN"/>
        </w:rPr>
        <w:t>、市场主导</w:t>
      </w:r>
      <w:r>
        <w:rPr>
          <w:rFonts w:hint="eastAsia" w:hAnsi="仿宋_GB2312" w:cs="仿宋_GB2312"/>
          <w:bCs/>
          <w:lang w:val="zh-CN" w:bidi="zh-CN"/>
        </w:rPr>
        <w:t>”</w:t>
      </w:r>
      <w:r>
        <w:rPr>
          <w:rFonts w:hAnsi="仿宋_GB2312" w:cs="仿宋_GB2312"/>
          <w:bCs/>
          <w:lang w:val="zh-CN" w:bidi="zh-CN"/>
        </w:rPr>
        <w:t>的原则，</w:t>
      </w:r>
      <w:r>
        <w:rPr>
          <w:rFonts w:hint="eastAsia" w:hAnsi="仿宋_GB2312" w:cs="仿宋_GB2312"/>
          <w:bCs/>
          <w:lang w:bidi="zh-CN"/>
        </w:rPr>
        <w:t>坚持</w:t>
      </w:r>
      <w:r>
        <w:rPr>
          <w:rFonts w:hAnsi="仿宋_GB2312" w:cs="仿宋_GB2312"/>
          <w:bCs/>
          <w:lang w:val="zh-CN" w:bidi="zh-CN"/>
        </w:rPr>
        <w:t>“</w:t>
      </w:r>
      <w:r>
        <w:rPr>
          <w:rFonts w:hint="eastAsia" w:hAnsi="仿宋_GB2312" w:cs="仿宋_GB2312"/>
          <w:bCs/>
          <w:lang w:bidi="zh-CN"/>
        </w:rPr>
        <w:t>专业化、国际化、市场化、数字化</w:t>
      </w:r>
      <w:r>
        <w:rPr>
          <w:rFonts w:hAnsi="仿宋_GB2312" w:cs="仿宋_GB2312"/>
          <w:bCs/>
          <w:lang w:val="zh-CN" w:bidi="zh-CN"/>
        </w:rPr>
        <w:t>”</w:t>
      </w:r>
      <w:r>
        <w:rPr>
          <w:rFonts w:hint="eastAsia" w:hAnsi="仿宋_GB2312" w:cs="仿宋_GB2312"/>
          <w:bCs/>
          <w:lang w:bidi="zh-CN"/>
        </w:rPr>
        <w:t>的办展理念</w:t>
      </w:r>
      <w:r>
        <w:rPr>
          <w:rFonts w:hAnsi="仿宋_GB2312" w:cs="仿宋_GB2312"/>
          <w:bCs/>
          <w:lang w:val="zh-CN" w:bidi="zh-CN"/>
        </w:rPr>
        <w:t>，以“一体运营，数实融合”为特色，打造</w:t>
      </w:r>
      <w:r>
        <w:rPr>
          <w:rFonts w:hint="eastAsia" w:hAnsi="仿宋_GB2312" w:cs="仿宋_GB2312"/>
          <w:bCs/>
          <w:lang w:val="zh-CN" w:bidi="zh-CN"/>
        </w:rPr>
        <w:t>兼具市场创新力、行业</w:t>
      </w:r>
      <w:r>
        <w:rPr>
          <w:rFonts w:hint="eastAsia" w:hAnsi="仿宋_GB2312" w:cs="仿宋_GB2312"/>
          <w:bCs/>
          <w:lang w:bidi="zh-CN"/>
        </w:rPr>
        <w:t>引领</w:t>
      </w:r>
      <w:r>
        <w:rPr>
          <w:rFonts w:hint="eastAsia" w:hAnsi="仿宋_GB2312" w:cs="仿宋_GB2312"/>
          <w:bCs/>
          <w:lang w:val="zh-CN" w:bidi="zh-CN"/>
        </w:rPr>
        <w:t>力和</w:t>
      </w:r>
      <w:r>
        <w:rPr>
          <w:rFonts w:hAnsi="仿宋_GB2312" w:cs="仿宋_GB2312"/>
          <w:bCs/>
          <w:lang w:val="zh-CN" w:bidi="zh-CN"/>
        </w:rPr>
        <w:t>国际</w:t>
      </w:r>
      <w:r>
        <w:rPr>
          <w:rFonts w:hint="eastAsia" w:hAnsi="仿宋_GB2312" w:cs="仿宋_GB2312"/>
          <w:bCs/>
          <w:lang w:val="zh-CN" w:bidi="zh-CN"/>
        </w:rPr>
        <w:t>影响力</w:t>
      </w:r>
      <w:r>
        <w:rPr>
          <w:rFonts w:hAnsi="仿宋_GB2312" w:cs="仿宋_GB2312"/>
          <w:bCs/>
          <w:lang w:val="zh-CN" w:bidi="zh-CN"/>
        </w:rPr>
        <w:t>的数字贸易</w:t>
      </w:r>
      <w:r>
        <w:rPr>
          <w:rFonts w:hint="eastAsia" w:hAnsi="仿宋_GB2312" w:cs="仿宋_GB2312"/>
          <w:bCs/>
          <w:lang w:val="zh-CN" w:bidi="zh-CN"/>
        </w:rPr>
        <w:t>领域专业展会</w:t>
      </w:r>
      <w:r>
        <w:rPr>
          <w:rFonts w:hAnsi="仿宋_GB2312" w:cs="仿宋_GB2312"/>
          <w:bCs/>
          <w:lang w:val="zh-CN" w:bidi="zh-CN"/>
        </w:rPr>
        <w:t>。</w:t>
      </w:r>
      <w:r>
        <w:rPr>
          <w:rFonts w:ascii="Times New Roman"/>
          <w:lang w:bidi="zh-CN"/>
        </w:rPr>
        <w:t>本届数贸会将邀约</w:t>
      </w:r>
      <w:r>
        <w:rPr>
          <w:rFonts w:hint="eastAsia" w:ascii="Times New Roman"/>
          <w:lang w:bidi="zh-CN"/>
        </w:rPr>
        <w:t>近百</w:t>
      </w:r>
      <w:r>
        <w:rPr>
          <w:rFonts w:ascii="Times New Roman"/>
          <w:lang w:bidi="zh-CN"/>
        </w:rPr>
        <w:t>个</w:t>
      </w:r>
      <w:r>
        <w:rPr>
          <w:rFonts w:ascii="Times New Roman"/>
          <w:lang w:val="zh-CN" w:bidi="zh-CN"/>
        </w:rPr>
        <w:t>国家和国际组织，吸引</w:t>
      </w:r>
      <w:r>
        <w:rPr>
          <w:rFonts w:hint="eastAsia" w:ascii="Times New Roman"/>
          <w:lang w:bidi="zh-CN"/>
        </w:rPr>
        <w:t>上</w:t>
      </w:r>
      <w:r>
        <w:rPr>
          <w:rFonts w:ascii="Times New Roman"/>
          <w:lang w:val="zh-CN" w:bidi="zh-CN"/>
        </w:rPr>
        <w:t>千家数字贸易企业，组织</w:t>
      </w:r>
      <w:r>
        <w:rPr>
          <w:rFonts w:hint="eastAsia" w:ascii="Times New Roman"/>
          <w:lang w:bidi="zh-CN"/>
        </w:rPr>
        <w:t>数</w:t>
      </w:r>
      <w:r>
        <w:rPr>
          <w:rFonts w:ascii="Times New Roman"/>
          <w:lang w:val="zh-CN" w:bidi="zh-CN"/>
        </w:rPr>
        <w:t>万名专业采购商</w:t>
      </w:r>
      <w:r>
        <w:rPr>
          <w:rFonts w:hint="eastAsia" w:ascii="Times New Roman"/>
          <w:lang w:val="zh-CN" w:bidi="zh-CN"/>
        </w:rPr>
        <w:t>，</w:t>
      </w:r>
      <w:r>
        <w:rPr>
          <w:rFonts w:ascii="Times New Roman"/>
          <w:lang w:bidi="zh-CN"/>
        </w:rPr>
        <w:t>重点围绕以下目标开展工作：</w:t>
      </w:r>
    </w:p>
    <w:p>
      <w:pPr>
        <w:keepNext/>
        <w:spacing w:beforeLines="0" w:line="600" w:lineRule="exact"/>
        <w:ind w:firstLine="640" w:firstLineChars="200"/>
        <w:rPr>
          <w:rFonts w:hAnsi="Calibri"/>
        </w:rPr>
      </w:pPr>
      <w:r>
        <w:rPr>
          <w:rFonts w:ascii="Times New Roman" w:eastAsia="楷体_GB2312"/>
          <w:color w:val="000000"/>
          <w:lang w:bidi="zh-CN"/>
        </w:rPr>
        <w:t>一是</w:t>
      </w:r>
      <w:r>
        <w:rPr>
          <w:rFonts w:hint="eastAsia" w:ascii="Times New Roman" w:eastAsia="楷体_GB2312"/>
          <w:color w:val="000000"/>
          <w:lang w:bidi="zh-CN"/>
        </w:rPr>
        <w:t>共建</w:t>
      </w:r>
      <w:r>
        <w:rPr>
          <w:rFonts w:ascii="Times New Roman" w:eastAsia="楷体_GB2312"/>
          <w:color w:val="000000"/>
          <w:lang w:bidi="zh-CN"/>
        </w:rPr>
        <w:t>全球数字贸易</w:t>
      </w:r>
      <w:r>
        <w:rPr>
          <w:rFonts w:hint="eastAsia" w:ascii="Times New Roman" w:eastAsia="楷体_GB2312"/>
          <w:color w:val="000000"/>
          <w:lang w:bidi="zh-CN"/>
        </w:rPr>
        <w:t>生态</w:t>
      </w:r>
      <w:r>
        <w:rPr>
          <w:rFonts w:ascii="Times New Roman" w:eastAsia="楷体_GB2312"/>
          <w:color w:val="000000"/>
          <w:lang w:bidi="zh-CN"/>
        </w:rPr>
        <w:t>。</w:t>
      </w:r>
      <w:r>
        <w:rPr>
          <w:rFonts w:ascii="Times New Roman"/>
          <w:color w:val="000000"/>
          <w:lang w:bidi="zh-CN"/>
        </w:rPr>
        <w:t>坚持“引进来”和“走出去”相结合，</w:t>
      </w:r>
      <w:r>
        <w:rPr>
          <w:rFonts w:hint="eastAsia" w:hAnsi="Calibri"/>
        </w:rPr>
        <w:t>大力发展数字服务贸易、数字技术贸易、数字产品贸易、数据贸易等</w:t>
      </w:r>
      <w:r>
        <w:rPr>
          <w:rFonts w:hint="eastAsia" w:ascii="Times New Roman"/>
          <w:color w:val="000000"/>
          <w:lang w:bidi="zh-CN"/>
        </w:rPr>
        <w:t>数字交付贸易</w:t>
      </w:r>
      <w:r>
        <w:rPr>
          <w:rFonts w:hint="eastAsia" w:hAnsi="Calibri"/>
        </w:rPr>
        <w:t>和跨境电商等</w:t>
      </w:r>
      <w:r>
        <w:rPr>
          <w:rFonts w:hint="eastAsia" w:ascii="Times New Roman"/>
          <w:color w:val="000000"/>
          <w:lang w:bidi="zh-CN"/>
        </w:rPr>
        <w:t>数字订购贸易</w:t>
      </w:r>
      <w:r>
        <w:rPr>
          <w:rFonts w:hint="eastAsia" w:hAnsi="Calibri"/>
        </w:rPr>
        <w:t>，帮助中小微企业更好融入全球价值链，携手打造数字贸易新引擎。</w:t>
      </w:r>
    </w:p>
    <w:p>
      <w:pPr>
        <w:keepNext/>
        <w:spacing w:beforeLines="0" w:after="0" w:line="600" w:lineRule="exact"/>
        <w:ind w:left="0" w:leftChars="0" w:firstLine="640" w:firstLineChars="200"/>
        <w:rPr>
          <w:rFonts w:hAnsi="Calibri"/>
        </w:rPr>
      </w:pPr>
      <w:r>
        <w:rPr>
          <w:rFonts w:ascii="Times New Roman" w:eastAsia="楷体_GB2312"/>
          <w:color w:val="000000"/>
          <w:lang w:bidi="zh-CN"/>
        </w:rPr>
        <w:t>二是</w:t>
      </w:r>
      <w:r>
        <w:rPr>
          <w:rFonts w:hint="eastAsia" w:ascii="Times New Roman" w:eastAsia="楷体_GB2312"/>
          <w:color w:val="000000"/>
          <w:lang w:bidi="zh-CN"/>
        </w:rPr>
        <w:t>共商</w:t>
      </w:r>
      <w:r>
        <w:rPr>
          <w:rFonts w:ascii="Times New Roman" w:eastAsia="楷体_GB2312"/>
          <w:color w:val="000000"/>
          <w:lang w:bidi="zh-CN"/>
        </w:rPr>
        <w:t>全球数字贸易合作。</w:t>
      </w:r>
      <w:r>
        <w:rPr>
          <w:rFonts w:hint="eastAsia" w:ascii="Times New Roman"/>
          <w:color w:val="000000"/>
          <w:lang w:bidi="zh-CN"/>
        </w:rPr>
        <w:t>加大制度型开放，推动各国及国际组织</w:t>
      </w:r>
      <w:r>
        <w:rPr>
          <w:rFonts w:hint="eastAsia" w:hAnsi="Calibri"/>
        </w:rPr>
        <w:t>在规则互通、标准互认、监管互信、制度兼容等方面加强交流合作，以数字贸易促合作、破围堵、谋共赢，推动数字贸易治理体系加速变革，扩大数字贸易全球朋友圈。</w:t>
      </w:r>
    </w:p>
    <w:p>
      <w:pPr>
        <w:keepNext/>
        <w:spacing w:beforeLines="0" w:line="600" w:lineRule="exact"/>
        <w:ind w:firstLine="640" w:firstLineChars="200"/>
        <w:rPr>
          <w:rFonts w:ascii="Times New Roman" w:eastAsia="楷体_GB2312"/>
          <w:color w:val="000000"/>
          <w:lang w:bidi="zh-CN"/>
        </w:rPr>
      </w:pPr>
      <w:r>
        <w:rPr>
          <w:rFonts w:ascii="Times New Roman" w:eastAsia="楷体_GB2312"/>
          <w:color w:val="000000"/>
          <w:lang w:bidi="zh-CN"/>
        </w:rPr>
        <w:t>三是</w:t>
      </w:r>
      <w:r>
        <w:rPr>
          <w:rFonts w:hint="eastAsia" w:ascii="Times New Roman" w:eastAsia="楷体_GB2312"/>
          <w:color w:val="000000"/>
          <w:lang w:bidi="zh-CN"/>
        </w:rPr>
        <w:t>共促</w:t>
      </w:r>
      <w:r>
        <w:rPr>
          <w:rFonts w:ascii="Times New Roman" w:eastAsia="楷体_GB2312"/>
          <w:color w:val="000000"/>
          <w:lang w:bidi="zh-CN"/>
        </w:rPr>
        <w:t>全球数字贸易</w:t>
      </w:r>
      <w:r>
        <w:rPr>
          <w:rFonts w:hint="eastAsia" w:ascii="Times New Roman" w:eastAsia="楷体_GB2312"/>
          <w:color w:val="000000"/>
          <w:lang w:bidi="zh-CN"/>
        </w:rPr>
        <w:t>发展</w:t>
      </w:r>
      <w:r>
        <w:rPr>
          <w:rFonts w:ascii="Times New Roman" w:eastAsia="楷体_GB2312"/>
          <w:color w:val="000000"/>
          <w:lang w:bidi="zh-CN"/>
        </w:rPr>
        <w:t>。</w:t>
      </w:r>
      <w:r>
        <w:rPr>
          <w:rFonts w:hint="eastAsia" w:hAnsi="Calibri"/>
        </w:rPr>
        <w:t>坚持创新驱动，加大数字技术应用，拓展数字贸易新模式、新业态、新场景，做大数字贸易总量，支持数字贸易在绿色发展中发挥更大作用，促进全球贸易的可持续、高质量增长</w:t>
      </w:r>
      <w:r>
        <w:rPr>
          <w:rFonts w:hint="eastAsia" w:ascii="Times New Roman" w:eastAsia="楷体_GB2312"/>
          <w:color w:val="000000"/>
          <w:lang w:bidi="zh-CN"/>
        </w:rPr>
        <w:t>。</w:t>
      </w:r>
    </w:p>
    <w:p>
      <w:pPr>
        <w:keepNext/>
        <w:spacing w:beforeLines="0" w:line="600" w:lineRule="exact"/>
        <w:ind w:firstLine="640" w:firstLineChars="200"/>
        <w:jc w:val="left"/>
        <w:rPr>
          <w:rFonts w:ascii="Times New Roman" w:eastAsia="楷体_GB2312"/>
          <w:color w:val="000000"/>
          <w:lang w:bidi="zh-CN"/>
        </w:rPr>
      </w:pPr>
      <w:r>
        <w:rPr>
          <w:rFonts w:ascii="Times New Roman" w:eastAsia="楷体_GB2312"/>
          <w:color w:val="000000"/>
          <w:lang w:bidi="zh-CN"/>
        </w:rPr>
        <w:t>四是共享全球数字贸易</w:t>
      </w:r>
      <w:r>
        <w:rPr>
          <w:rFonts w:hint="eastAsia" w:ascii="Times New Roman" w:eastAsia="楷体_GB2312"/>
          <w:color w:val="000000"/>
          <w:lang w:bidi="zh-CN"/>
        </w:rPr>
        <w:t>成果</w:t>
      </w:r>
      <w:r>
        <w:rPr>
          <w:rFonts w:ascii="Times New Roman" w:eastAsia="楷体_GB2312"/>
          <w:color w:val="000000"/>
          <w:lang w:bidi="zh-CN"/>
        </w:rPr>
        <w:t>。</w:t>
      </w:r>
      <w:r>
        <w:rPr>
          <w:rFonts w:hint="eastAsia" w:ascii="Times New Roman"/>
          <w:lang w:bidi="zh-CN"/>
        </w:rPr>
        <w:t>发挥国际公共平台作用，集中展示与推广数字贸易领域的新技术、新产品、新方案与新共识，提升全球产业链供应链的稳定与韧性，</w:t>
      </w:r>
      <w:r>
        <w:rPr>
          <w:rFonts w:hint="eastAsia" w:hAnsi="Calibri"/>
        </w:rPr>
        <w:t>为建设开放型世界经济注入新动能。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left="640" w:leftChars="200"/>
        <w:jc w:val="left"/>
        <w:rPr>
          <w:rFonts w:ascii="Times New Roman" w:eastAsia="楷体_GB2312"/>
          <w:b/>
          <w:lang w:bidi="zh-CN"/>
        </w:rPr>
      </w:pPr>
      <w:r>
        <w:rPr>
          <w:rFonts w:hint="eastAsia" w:ascii="Times New Roman" w:eastAsia="黑体"/>
          <w:bCs/>
          <w:lang w:bidi="zh-CN"/>
        </w:rPr>
        <w:t>四、展览展示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0" w:firstLineChars="200"/>
        <w:rPr>
          <w:rFonts w:ascii="Times New Roman"/>
          <w:bCs/>
          <w:color w:val="000000"/>
          <w:lang w:bidi="zh-CN"/>
        </w:rPr>
      </w:pPr>
      <w:r>
        <w:rPr>
          <w:rFonts w:ascii="Times New Roman"/>
          <w:bCs/>
          <w:lang w:bidi="zh-CN"/>
        </w:rPr>
        <w:t>总体架构为“1+</w:t>
      </w:r>
      <w:r>
        <w:rPr>
          <w:rFonts w:hint="eastAsia" w:ascii="Times New Roman"/>
          <w:bCs/>
          <w:lang w:bidi="zh-CN"/>
        </w:rPr>
        <w:t>8</w:t>
      </w:r>
      <w:r>
        <w:rPr>
          <w:rFonts w:ascii="Times New Roman"/>
          <w:bCs/>
          <w:lang w:bidi="zh-CN"/>
        </w:rPr>
        <w:t>”，</w:t>
      </w:r>
      <w:r>
        <w:rPr>
          <w:rFonts w:hint="eastAsia" w:ascii="Times New Roman"/>
          <w:bCs/>
          <w:lang w:bidi="zh-CN"/>
        </w:rPr>
        <w:t>安排</w:t>
      </w:r>
      <w:r>
        <w:rPr>
          <w:rFonts w:ascii="Times New Roman"/>
          <w:bCs/>
          <w:lang w:bidi="zh-CN"/>
        </w:rPr>
        <w:t>1个综合</w:t>
      </w:r>
      <w:r>
        <w:rPr>
          <w:rFonts w:hint="eastAsia" w:ascii="Times New Roman"/>
          <w:bCs/>
          <w:lang w:bidi="zh-CN"/>
        </w:rPr>
        <w:t>展区和8</w:t>
      </w:r>
      <w:r>
        <w:rPr>
          <w:rFonts w:ascii="Times New Roman"/>
          <w:bCs/>
          <w:lang w:bidi="zh-CN"/>
        </w:rPr>
        <w:t>个</w:t>
      </w:r>
      <w:r>
        <w:rPr>
          <w:rFonts w:hint="eastAsia" w:ascii="Times New Roman"/>
          <w:bCs/>
          <w:lang w:bidi="zh-CN"/>
        </w:rPr>
        <w:t>特色</w:t>
      </w:r>
      <w:r>
        <w:rPr>
          <w:rFonts w:ascii="Times New Roman"/>
          <w:bCs/>
          <w:lang w:bidi="zh-CN"/>
        </w:rPr>
        <w:t>数字产业</w:t>
      </w:r>
      <w:r>
        <w:rPr>
          <w:rFonts w:hint="eastAsia" w:ascii="Times New Roman"/>
          <w:bCs/>
          <w:lang w:bidi="zh-CN"/>
        </w:rPr>
        <w:t>展区，按照国家战略产业发展方向，聚焦数字贸易细分领域，重点展示当前</w:t>
      </w:r>
      <w:r>
        <w:rPr>
          <w:rFonts w:ascii="Times New Roman"/>
          <w:bCs/>
          <w:lang w:bidi="zh-CN"/>
        </w:rPr>
        <w:t>数字贸易新热点</w:t>
      </w:r>
      <w:r>
        <w:rPr>
          <w:rFonts w:hint="eastAsia" w:ascii="Times New Roman"/>
          <w:bCs/>
          <w:lang w:bidi="zh-CN"/>
        </w:rPr>
        <w:t>、新工具、新力量、新规则。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3" w:firstLineChars="200"/>
        <w:rPr>
          <w:rFonts w:ascii="Times New Roman"/>
          <w:bCs/>
          <w:lang w:bidi="zh-CN"/>
        </w:rPr>
      </w:pPr>
      <w:r>
        <w:rPr>
          <w:rFonts w:ascii="Times New Roman"/>
          <w:b/>
          <w:lang w:bidi="zh-CN"/>
        </w:rPr>
        <w:t>综合</w:t>
      </w:r>
      <w:r>
        <w:rPr>
          <w:rFonts w:hint="eastAsia" w:ascii="Times New Roman"/>
          <w:b/>
          <w:lang w:bidi="zh-CN"/>
        </w:rPr>
        <w:t>展区：</w:t>
      </w:r>
      <w:r>
        <w:rPr>
          <w:rFonts w:hint="eastAsia" w:ascii="Times New Roman"/>
          <w:bCs/>
          <w:lang w:bidi="zh-CN"/>
        </w:rPr>
        <w:t>设置中国馆、</w:t>
      </w:r>
      <w:r>
        <w:rPr>
          <w:rFonts w:ascii="Times New Roman"/>
          <w:bCs/>
          <w:lang w:bidi="zh-CN"/>
        </w:rPr>
        <w:t>国际组织、主宾国、主宾省、</w:t>
      </w:r>
      <w:r>
        <w:rPr>
          <w:rFonts w:hint="eastAsia" w:ascii="Times New Roman"/>
          <w:bCs/>
          <w:lang w:bidi="zh-CN"/>
        </w:rPr>
        <w:t>国际友城、</w:t>
      </w:r>
      <w:r>
        <w:rPr>
          <w:rFonts w:ascii="Times New Roman"/>
          <w:bCs/>
          <w:lang w:bidi="zh-CN"/>
        </w:rPr>
        <w:t>港澳专区</w:t>
      </w:r>
      <w:r>
        <w:rPr>
          <w:rFonts w:hint="eastAsia" w:ascii="Times New Roman"/>
          <w:bCs/>
          <w:lang w:bidi="zh-CN"/>
        </w:rPr>
        <w:t>、浙江馆等展区，展示全球数字贸易领域的龙头企业、前沿趋势和最新</w:t>
      </w:r>
      <w:r>
        <w:rPr>
          <w:rFonts w:ascii="Times New Roman"/>
          <w:bCs/>
          <w:lang w:bidi="zh-CN"/>
        </w:rPr>
        <w:t>成果</w:t>
      </w:r>
      <w:r>
        <w:rPr>
          <w:rFonts w:hint="eastAsia" w:ascii="Times New Roman"/>
          <w:bCs/>
          <w:lang w:bidi="zh-CN"/>
        </w:rPr>
        <w:t>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3" w:firstLineChars="200"/>
        <w:jc w:val="left"/>
        <w:rPr>
          <w:rFonts w:ascii="Times New Roman"/>
          <w:b/>
          <w:highlight w:val="yellow"/>
          <w:lang w:bidi="zh-CN"/>
        </w:rPr>
      </w:pPr>
      <w:r>
        <w:rPr>
          <w:rFonts w:hint="eastAsia" w:ascii="Times New Roman"/>
          <w:b/>
          <w:lang w:bidi="zh-CN"/>
        </w:rPr>
        <w:t>数据与金融展区：</w:t>
      </w:r>
      <w:r>
        <w:rPr>
          <w:rFonts w:hint="eastAsia" w:ascii="Times New Roman"/>
          <w:bCs/>
          <w:lang w:bidi="zh-CN"/>
        </w:rPr>
        <w:t>聚焦数字金融，重点展示金融服务、数字支付、保险服务、咨询服务等最新产品、技术及应用；聚焦数据贸易，围绕数据加工、储存、确权、流通、治理及数据跨境流动等领域，展示展现数据流通与数据交易的创新探索与实践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3" w:firstLineChars="200"/>
        <w:rPr>
          <w:rFonts w:ascii="Times New Roman"/>
          <w:bCs/>
          <w:lang w:bidi="zh-CN"/>
        </w:rPr>
      </w:pPr>
      <w:r>
        <w:rPr>
          <w:rFonts w:hint="eastAsia" w:ascii="Times New Roman"/>
          <w:b/>
          <w:lang w:bidi="zh-CN"/>
        </w:rPr>
        <w:t>丝路电商展区：</w:t>
      </w:r>
      <w:r>
        <w:rPr>
          <w:rFonts w:hint="eastAsia" w:ascii="Times New Roman"/>
          <w:bCs/>
          <w:lang w:bidi="zh-CN"/>
        </w:rPr>
        <w:t>聚焦电商平台、跨境直播、跨境物流、品牌商、渠道商等丝路电商全产业链应用新场景，重点展示“一带一路”电子商务合作发展新成果。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3" w:firstLineChars="200"/>
        <w:rPr>
          <w:rFonts w:ascii="Times New Roman"/>
          <w:bCs/>
          <w:lang w:bidi="zh-CN"/>
        </w:rPr>
      </w:pPr>
      <w:r>
        <w:rPr>
          <w:rFonts w:hint="eastAsia" w:ascii="Times New Roman"/>
          <w:b/>
          <w:lang w:bidi="zh-CN"/>
        </w:rPr>
        <w:t>人工智能展区：</w:t>
      </w:r>
      <w:r>
        <w:rPr>
          <w:rFonts w:hint="eastAsia" w:hAnsi="仿宋_GB2312" w:cs="仿宋_GB2312"/>
          <w:szCs w:val="40"/>
        </w:rPr>
        <w:t>聚焦数字技术推动数字贸易发展新业态，重点展示新一代通信技术（</w:t>
      </w:r>
      <w:r>
        <w:rPr>
          <w:rFonts w:hint="eastAsia" w:ascii="Times New Roman" w:hAnsi="Times New Roman" w:cs="仿宋_GB2312"/>
          <w:szCs w:val="40"/>
        </w:rPr>
        <w:t>5G</w:t>
      </w:r>
      <w:r>
        <w:rPr>
          <w:rFonts w:hint="eastAsia" w:hAnsi="仿宋_GB2312" w:cs="仿宋_GB2312"/>
          <w:szCs w:val="40"/>
        </w:rPr>
        <w:t>-</w:t>
      </w:r>
      <w:r>
        <w:rPr>
          <w:rFonts w:hint="eastAsia" w:ascii="Times New Roman" w:hAnsi="Times New Roman" w:cs="仿宋_GB2312"/>
          <w:szCs w:val="40"/>
        </w:rPr>
        <w:t>A</w:t>
      </w:r>
      <w:r>
        <w:rPr>
          <w:rFonts w:hint="eastAsia" w:hAnsi="仿宋_GB2312" w:cs="仿宋_GB2312"/>
          <w:szCs w:val="40"/>
        </w:rPr>
        <w:t>/</w:t>
      </w:r>
      <w:r>
        <w:rPr>
          <w:rFonts w:hint="eastAsia" w:ascii="Times New Roman" w:hAnsi="Times New Roman" w:cs="仿宋_GB2312"/>
          <w:szCs w:val="40"/>
        </w:rPr>
        <w:t>6G</w:t>
      </w:r>
      <w:r>
        <w:rPr>
          <w:rFonts w:hint="eastAsia" w:hAnsi="仿宋_GB2312" w:cs="仿宋_GB2312"/>
          <w:szCs w:val="40"/>
        </w:rPr>
        <w:t>）、云计算、算法算力、物联网、大模型、机器人等应用场景和解决方案。</w:t>
      </w:r>
    </w:p>
    <w:p>
      <w:pPr>
        <w:keepNext/>
        <w:autoSpaceDE w:val="0"/>
        <w:autoSpaceDN w:val="0"/>
        <w:adjustRightInd w:val="0"/>
        <w:snapToGrid w:val="0"/>
        <w:spacing w:beforeLines="0" w:line="600" w:lineRule="exact"/>
        <w:ind w:firstLine="643" w:firstLineChars="200"/>
        <w:rPr>
          <w:rFonts w:hAnsi="仿宋_GB2312" w:cs="仿宋_GB2312"/>
          <w:szCs w:val="40"/>
        </w:rPr>
      </w:pPr>
      <w:r>
        <w:rPr>
          <w:rFonts w:hint="eastAsia" w:ascii="Times New Roman"/>
          <w:b/>
          <w:lang w:bidi="zh-CN"/>
        </w:rPr>
        <w:t>智慧城市展区：</w:t>
      </w:r>
      <w:r>
        <w:rPr>
          <w:rFonts w:hint="eastAsia" w:hAnsi="仿宋_GB2312" w:cs="仿宋_GB2312"/>
          <w:szCs w:val="40"/>
        </w:rPr>
        <w:t>聚焦各行业创新技术和模式融合实现城市智慧化变革的路径与案例，重点展示智能技术、环保和能源技术、城市和产业综合解决方案等内容。</w:t>
      </w:r>
    </w:p>
    <w:p>
      <w:pPr>
        <w:keepNext w:val="0"/>
        <w:autoSpaceDE/>
        <w:autoSpaceDN/>
        <w:adjustRightInd/>
        <w:snapToGrid/>
        <w:spacing w:beforeLines="0" w:line="600" w:lineRule="exact"/>
        <w:ind w:firstLine="643" w:firstLineChars="200"/>
        <w:rPr>
          <w:rFonts w:hint="eastAsia" w:ascii="Times New Roman"/>
          <w:bCs/>
          <w:lang w:bidi="zh-CN"/>
        </w:rPr>
      </w:pPr>
      <w:r>
        <w:rPr>
          <w:rFonts w:hint="eastAsia" w:ascii="Times New Roman"/>
          <w:b/>
          <w:lang w:bidi="zh-CN"/>
        </w:rPr>
        <w:t>数字文娱展区：</w:t>
      </w:r>
      <w:r>
        <w:rPr>
          <w:rFonts w:hint="eastAsia" w:hAnsi="仿宋_GB2312" w:cs="仿宋_GB2312"/>
        </w:rPr>
        <w:t>聚焦数字技术赋能数字内容贸易，重点展示数字文旅、数字游戏、数字影视、数字动漫、数字音乐、数字出版</w:t>
      </w:r>
      <w:r>
        <w:rPr>
          <w:rFonts w:hint="default" w:ascii="Times New Roman" w:hAnsi="Times New Roman" w:cs="Times New Roman"/>
        </w:rPr>
        <w:t>、AIGC及</w:t>
      </w:r>
      <w:r>
        <w:rPr>
          <w:rFonts w:hint="eastAsia" w:hAnsi="仿宋_GB2312" w:cs="仿宋_GB2312"/>
        </w:rPr>
        <w:t>配套装备、装置、软硬件设备等上下游产业链，引领对外文化贸易创新发展，带动文化贸易“走出去”。</w:t>
      </w:r>
      <w:r>
        <w:rPr>
          <w:rFonts w:hint="eastAsia" w:ascii="Times New Roman"/>
          <w:b/>
          <w:lang w:bidi="zh-CN"/>
        </w:rPr>
        <w:t>数智出行展区：</w:t>
      </w:r>
      <w:r>
        <w:rPr>
          <w:rFonts w:hint="eastAsia" w:ascii="Times New Roman"/>
          <w:bCs/>
          <w:lang w:bidi="zh-CN"/>
        </w:rPr>
        <w:t>聚焦数字环境下的新型出行以及绿色低碳出行方式，重点展示数字化赋能汽车产业出海、数字车联、城市低空飞行、绿色能源、智慧能源管理等内容。</w:t>
      </w:r>
    </w:p>
    <w:p>
      <w:pPr>
        <w:keepNext w:val="0"/>
        <w:autoSpaceDE/>
        <w:autoSpaceDN/>
        <w:adjustRightInd/>
        <w:snapToGrid/>
        <w:spacing w:beforeLines="0" w:line="600" w:lineRule="exact"/>
        <w:ind w:firstLine="643" w:firstLineChars="200"/>
        <w:rPr>
          <w:rFonts w:ascii="Times New Roman"/>
          <w:bCs/>
          <w:lang w:bidi="zh-CN"/>
        </w:rPr>
      </w:pPr>
      <w:r>
        <w:rPr>
          <w:rFonts w:hint="eastAsia" w:ascii="Times New Roman"/>
          <w:b/>
          <w:lang w:bidi="zh-CN"/>
        </w:rPr>
        <w:t>数字医疗展区：</w:t>
      </w:r>
      <w:r>
        <w:rPr>
          <w:rFonts w:hint="eastAsia" w:ascii="Times New Roman"/>
          <w:bCs/>
          <w:lang w:bidi="zh-CN"/>
        </w:rPr>
        <w:t>聚焦数字赋能大健康，重点展示数字医疗技术和设备、数字化诊断、互联网医院、远程医疗、中医药服务以及医疗数字化解决方案等内容。</w:t>
      </w:r>
    </w:p>
    <w:p>
      <w:pPr>
        <w:keepNext w:val="0"/>
        <w:autoSpaceDE w:val="0"/>
        <w:autoSpaceDN w:val="0"/>
        <w:adjustRightInd w:val="0"/>
        <w:snapToGrid w:val="0"/>
        <w:spacing w:beforeLines="0" w:line="560" w:lineRule="exact"/>
        <w:ind w:firstLine="643" w:firstLineChars="200"/>
        <w:rPr>
          <w:rFonts w:hAnsi="仿宋_GB2312" w:cs="仿宋_GB2312"/>
          <w:szCs w:val="40"/>
          <w:lang w:bidi="zh-CN"/>
        </w:rPr>
      </w:pPr>
      <w:r>
        <w:rPr>
          <w:rFonts w:hint="eastAsia" w:ascii="Times New Roman"/>
          <w:b/>
          <w:lang w:bidi="zh-CN"/>
        </w:rPr>
        <w:t>消费电子展区：</w:t>
      </w:r>
      <w:r>
        <w:rPr>
          <w:rFonts w:hint="eastAsia" w:ascii="Times New Roman"/>
          <w:bCs/>
          <w:lang w:bidi="zh-CN"/>
        </w:rPr>
        <w:t>聚焦新技术驱动下的未来生活，以沉浸式、互动式、体验式等方式，重点展示消费终端</w:t>
      </w:r>
      <w:r>
        <w:rPr>
          <w:rFonts w:hint="eastAsia" w:hAnsi="仿宋_GB2312" w:cs="仿宋_GB2312"/>
          <w:szCs w:val="40"/>
          <w:lang w:bidi="zh-CN"/>
        </w:rPr>
        <w:t>的新趋势、新产品、新品牌与新场景等内容。</w:t>
      </w:r>
    </w:p>
    <w:p>
      <w:pPr>
        <w:keepNext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/>
          <w:bCs/>
          <w:lang w:bidi="zh-CN"/>
        </w:rPr>
      </w:pPr>
      <w:r>
        <w:rPr>
          <w:rFonts w:hint="eastAsia" w:ascii="Times New Roman" w:eastAsia="黑体"/>
          <w:bCs/>
          <w:lang w:bidi="zh-CN"/>
        </w:rPr>
        <w:t>五、主要活动</w:t>
      </w:r>
    </w:p>
    <w:p>
      <w:pPr>
        <w:keepNext/>
        <w:keepLines w:val="0"/>
        <w:numPr>
          <w:ilvl w:val="0"/>
          <w:numId w:val="2"/>
        </w:numPr>
        <w:autoSpaceDE w:val="0"/>
        <w:autoSpaceDN w:val="0"/>
        <w:spacing w:line="560" w:lineRule="exact"/>
        <w:ind w:left="0" w:firstLine="640" w:firstLineChars="200"/>
        <w:outlineLvl w:val="0"/>
        <w:rPr>
          <w:rFonts w:ascii="楷体" w:hAnsi="楷体" w:eastAsia="楷体" w:cs="楷体"/>
          <w:bCs/>
          <w:lang w:bidi="zh-CN"/>
        </w:rPr>
      </w:pPr>
      <w:r>
        <w:rPr>
          <w:rFonts w:hint="eastAsia" w:ascii="楷体" w:hAnsi="楷体" w:eastAsia="楷体" w:cs="楷体"/>
          <w:bCs/>
          <w:lang w:bidi="zh-CN"/>
        </w:rPr>
        <w:t>主题活动</w:t>
      </w:r>
    </w:p>
    <w:p>
      <w:pPr>
        <w:keepNext/>
        <w:keepLines w:val="0"/>
        <w:autoSpaceDE w:val="0"/>
        <w:autoSpaceDN w:val="0"/>
        <w:spacing w:line="560" w:lineRule="exact"/>
        <w:ind w:firstLine="640" w:firstLineChars="200"/>
        <w:outlineLvl w:val="0"/>
        <w:rPr>
          <w:rFonts w:ascii="Times New Roman"/>
          <w:bCs/>
          <w:lang w:bidi="zh-CN"/>
        </w:rPr>
      </w:pPr>
      <w:r>
        <w:rPr>
          <w:rFonts w:hint="eastAsia" w:ascii="Times New Roman"/>
          <w:bCs/>
          <w:lang w:bidi="zh-CN"/>
        </w:rPr>
        <w:t>围绕丝路电商、人工智能、智慧城市、数据贸易、数字金融、数字文娱、数智出行、数字医疗、消费电子等展览主题，聚焦促进贸易成交、投资洽谈、招商推介，设置若干场产业对接及高校走进数贸会等主题活动，并按照节俭办会原则，举办开幕式。</w:t>
      </w:r>
    </w:p>
    <w:p>
      <w:pPr>
        <w:keepNext/>
        <w:keepLines w:val="0"/>
        <w:numPr>
          <w:ilvl w:val="0"/>
          <w:numId w:val="2"/>
        </w:numPr>
        <w:spacing w:line="560" w:lineRule="exact"/>
        <w:ind w:left="480" w:firstLine="0"/>
        <w:outlineLvl w:val="0"/>
        <w:rPr>
          <w:rFonts w:ascii="楷体" w:hAnsi="楷体" w:eastAsia="楷体" w:cs="楷体"/>
          <w:bCs/>
          <w:lang w:bidi="zh-CN"/>
        </w:rPr>
      </w:pPr>
      <w:r>
        <w:rPr>
          <w:rFonts w:hint="eastAsia" w:ascii="楷体" w:hAnsi="楷体" w:eastAsia="楷体" w:cs="楷体"/>
          <w:bCs/>
          <w:lang w:bidi="zh-CN"/>
        </w:rPr>
        <w:t>特色活动和配套活动</w:t>
      </w:r>
    </w:p>
    <w:p>
      <w:pPr>
        <w:keepNext/>
        <w:keepLines w:val="0"/>
        <w:spacing w:line="560" w:lineRule="exact"/>
        <w:ind w:firstLine="640" w:firstLineChars="200"/>
        <w:outlineLvl w:val="0"/>
        <w:rPr>
          <w:rFonts w:ascii="Times New Roman"/>
          <w:bCs/>
          <w:lang w:bidi="zh-CN"/>
        </w:rPr>
      </w:pPr>
      <w:r>
        <w:rPr>
          <w:rFonts w:hint="eastAsia" w:ascii="Times New Roman"/>
          <w:bCs/>
          <w:lang w:bidi="zh-CN"/>
        </w:rPr>
        <w:t>按照探索制订全球数字贸易规则标准、发布政策与成果、展示数字贸易技术的要求，搭建行业合作交流平台，利用数字人、区块链、人工智能、裸眼3D等新技术，线上增强应用场景、线下增强互动体验，举办数字人辩论赛、数字贸易创新大赛、数贸之夜等特色活动。同时，为提升展会行业主体参与成果与成效，拟联合相关部门、地方在展会期间举办国家级经开区对接世界500强等配套活动。</w:t>
      </w:r>
    </w:p>
    <w:p>
      <w:pPr>
        <w:widowControl/>
        <w:jc w:val="left"/>
        <w:rPr>
          <w:rFonts w:hint="default" w:ascii="Times New Roman" w:hAnsi="Times New Roman" w:eastAsia="黑体" w:cs="Times New Roman"/>
        </w:rPr>
      </w:pPr>
      <w:r>
        <w:rPr>
          <w:rFonts w:ascii="Calibri" w:hAnsi="Calibri"/>
          <w:bCs/>
          <w:lang w:bidi="zh-CN"/>
        </w:rPr>
        <w:br w:type="page"/>
      </w:r>
      <w:r>
        <w:rPr>
          <w:rFonts w:hint="default" w:ascii="Times New Roman" w:hAnsi="Times New Roman" w:eastAsia="黑体" w:cs="Times New Roman"/>
        </w:rPr>
        <w:t>附件3</w:t>
      </w:r>
    </w:p>
    <w:p>
      <w:pPr>
        <w:spacing w:after="0" w:line="600" w:lineRule="exact"/>
        <w:ind w:left="640" w:leftChars="200" w:firstLine="420" w:firstLineChars="200"/>
        <w:rPr>
          <w:rFonts w:ascii="Calibri" w:hAnsi="Calibri" w:eastAsia="宋体"/>
          <w:sz w:val="21"/>
          <w:szCs w:val="2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第三届全球数字贸易博览会商务合作政策</w:t>
      </w:r>
    </w:p>
    <w:p>
      <w:pPr>
        <w:spacing w:line="600" w:lineRule="exact"/>
        <w:rPr>
          <w:rFonts w:ascii="Calibri" w:hAnsi="Calibri" w:eastAsia="宋体"/>
          <w:sz w:val="21"/>
          <w:szCs w:val="24"/>
        </w:rPr>
      </w:pP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hAnsi="仿宋_GB2312" w:cs="仿宋_GB2312"/>
          <w:szCs w:val="40"/>
        </w:rPr>
        <w:t>第三届全球数字贸易博览会按照“一体运营、数实融合”的总体思路，遵照“一个主体+多个合作伙伴”的运营模式，加快推进招商招展筹备工作。展位价格、参展资格标准、代理政策体系等相关标准设定如下：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一、标准价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ascii="Times New Roman" w:hAnsi="Times New Roman" w:cs="仿宋_GB2312"/>
          <w:szCs w:val="40"/>
        </w:rPr>
        <w:t>1</w:t>
      </w:r>
      <w:r>
        <w:rPr>
          <w:rFonts w:hint="eastAsia" w:hAnsi="仿宋_GB2312" w:cs="仿宋_GB2312"/>
          <w:szCs w:val="40"/>
        </w:rPr>
        <w:t>.光地：</w:t>
      </w:r>
      <w:r>
        <w:rPr>
          <w:rFonts w:hint="eastAsia" w:ascii="Times New Roman" w:hAnsi="Times New Roman" w:cs="仿宋_GB2312"/>
          <w:szCs w:val="40"/>
        </w:rPr>
        <w:t>1600</w:t>
      </w:r>
      <w:r>
        <w:rPr>
          <w:rFonts w:hint="eastAsia" w:hAnsi="仿宋_GB2312" w:cs="仿宋_GB2312"/>
          <w:szCs w:val="40"/>
        </w:rPr>
        <w:t>元/</w:t>
      </w:r>
      <w:r>
        <w:rPr>
          <w:rFonts w:hint="eastAsia" w:ascii="Times New Roman" w:hAnsi="Times New Roman" w:cs="仿宋_GB2312"/>
          <w:szCs w:val="40"/>
        </w:rPr>
        <w:t>m</w:t>
      </w:r>
      <w:r>
        <w:rPr>
          <w:rFonts w:hint="eastAsia" w:hAnsi="仿宋_GB2312" w:cs="仿宋_GB2312"/>
          <w:szCs w:val="40"/>
        </w:rPr>
        <w:t>²（</w:t>
      </w:r>
      <w:r>
        <w:rPr>
          <w:rFonts w:hint="eastAsia" w:ascii="Times New Roman" w:hAnsi="Times New Roman" w:cs="仿宋_GB2312"/>
          <w:szCs w:val="40"/>
        </w:rPr>
        <w:t>36</w:t>
      </w:r>
      <w:r>
        <w:rPr>
          <w:rFonts w:hint="eastAsia" w:hAnsi="仿宋_GB2312" w:cs="仿宋_GB2312"/>
          <w:szCs w:val="40"/>
        </w:rPr>
        <w:t>㎡起租）；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ascii="Times New Roman" w:hAnsi="Times New Roman" w:cs="仿宋_GB2312"/>
          <w:szCs w:val="40"/>
        </w:rPr>
        <w:t>2</w:t>
      </w:r>
      <w:r>
        <w:rPr>
          <w:rFonts w:hint="eastAsia" w:hAnsi="仿宋_GB2312" w:cs="仿宋_GB2312"/>
          <w:szCs w:val="40"/>
        </w:rPr>
        <w:t>.标准展位（</w:t>
      </w:r>
      <w:r>
        <w:rPr>
          <w:rFonts w:hint="eastAsia" w:ascii="Times New Roman" w:hAnsi="Times New Roman" w:cs="仿宋_GB2312"/>
          <w:szCs w:val="40"/>
        </w:rPr>
        <w:t>9m</w:t>
      </w:r>
      <w:r>
        <w:rPr>
          <w:rFonts w:hint="eastAsia" w:hAnsi="仿宋_GB2312" w:cs="仿宋_GB2312"/>
          <w:szCs w:val="40"/>
        </w:rPr>
        <w:t>²）：</w:t>
      </w:r>
      <w:r>
        <w:rPr>
          <w:rFonts w:hint="eastAsia" w:ascii="Times New Roman" w:hAnsi="Times New Roman" w:cs="仿宋_GB2312"/>
          <w:szCs w:val="40"/>
        </w:rPr>
        <w:t>16000</w:t>
      </w:r>
      <w:r>
        <w:rPr>
          <w:rFonts w:hint="eastAsia" w:hAnsi="仿宋_GB2312" w:cs="仿宋_GB2312"/>
          <w:szCs w:val="40"/>
        </w:rPr>
        <w:t>元/个；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二、早鸟价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ascii="Times New Roman" w:hAnsi="Times New Roman" w:cs="仿宋_GB2312"/>
          <w:szCs w:val="40"/>
        </w:rPr>
        <w:t>1</w:t>
      </w:r>
      <w:r>
        <w:rPr>
          <w:rFonts w:hint="eastAsia" w:hAnsi="仿宋_GB2312" w:cs="仿宋_GB2312"/>
          <w:szCs w:val="40"/>
        </w:rPr>
        <w:t>.</w:t>
      </w:r>
      <w:r>
        <w:rPr>
          <w:rFonts w:hint="eastAsia" w:ascii="Times New Roman" w:hAnsi="Times New Roman" w:cs="仿宋_GB2312"/>
          <w:szCs w:val="40"/>
        </w:rPr>
        <w:t>7</w:t>
      </w:r>
      <w:r>
        <w:rPr>
          <w:rFonts w:hint="eastAsia" w:hAnsi="仿宋_GB2312" w:cs="仿宋_GB2312"/>
          <w:szCs w:val="40"/>
        </w:rPr>
        <w:t>月</w:t>
      </w:r>
      <w:r>
        <w:rPr>
          <w:rFonts w:hint="eastAsia" w:ascii="Times New Roman" w:hAnsi="Times New Roman" w:cs="仿宋_GB2312"/>
          <w:szCs w:val="40"/>
        </w:rPr>
        <w:t>1</w:t>
      </w:r>
      <w:r>
        <w:rPr>
          <w:rFonts w:hint="eastAsia" w:hAnsi="仿宋_GB2312" w:cs="仿宋_GB2312"/>
          <w:szCs w:val="40"/>
        </w:rPr>
        <w:t>日前确定展位及合同，享受</w:t>
      </w:r>
      <w:r>
        <w:rPr>
          <w:rFonts w:hint="eastAsia" w:ascii="Times New Roman" w:hAnsi="Times New Roman" w:cs="仿宋_GB2312"/>
          <w:szCs w:val="40"/>
        </w:rPr>
        <w:t>8</w:t>
      </w:r>
      <w:r>
        <w:rPr>
          <w:rFonts w:hint="eastAsia" w:hAnsi="仿宋_GB2312" w:cs="仿宋_GB2312"/>
          <w:szCs w:val="40"/>
        </w:rPr>
        <w:t>折；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ascii="Times New Roman" w:hAnsi="Times New Roman" w:cs="仿宋_GB2312"/>
          <w:szCs w:val="40"/>
        </w:rPr>
        <w:t>2</w:t>
      </w:r>
      <w:r>
        <w:rPr>
          <w:rFonts w:hint="eastAsia" w:hAnsi="仿宋_GB2312" w:cs="仿宋_GB2312"/>
          <w:szCs w:val="40"/>
        </w:rPr>
        <w:t>.</w:t>
      </w:r>
      <w:r>
        <w:rPr>
          <w:rFonts w:hint="eastAsia" w:ascii="Times New Roman" w:hAnsi="Times New Roman" w:cs="仿宋_GB2312"/>
          <w:szCs w:val="40"/>
        </w:rPr>
        <w:t>7</w:t>
      </w:r>
      <w:r>
        <w:rPr>
          <w:rFonts w:hint="eastAsia" w:hAnsi="仿宋_GB2312" w:cs="仿宋_GB2312"/>
          <w:szCs w:val="40"/>
        </w:rPr>
        <w:t>月</w:t>
      </w:r>
      <w:r>
        <w:rPr>
          <w:rFonts w:hint="eastAsia" w:ascii="Times New Roman" w:hAnsi="Times New Roman" w:cs="仿宋_GB2312"/>
          <w:szCs w:val="40"/>
        </w:rPr>
        <w:t>1</w:t>
      </w:r>
      <w:r>
        <w:rPr>
          <w:rFonts w:hint="eastAsia" w:hAnsi="仿宋_GB2312" w:cs="仿宋_GB2312"/>
          <w:szCs w:val="40"/>
        </w:rPr>
        <w:t>日后确定展位及合同，享日常折扣</w:t>
      </w:r>
      <w:r>
        <w:rPr>
          <w:rFonts w:hint="eastAsia" w:ascii="Times New Roman" w:hAnsi="Times New Roman" w:cs="仿宋_GB2312"/>
          <w:szCs w:val="40"/>
        </w:rPr>
        <w:t>8</w:t>
      </w:r>
      <w:r>
        <w:rPr>
          <w:rFonts w:hint="eastAsia" w:hAnsi="仿宋_GB2312" w:cs="仿宋_GB2312"/>
          <w:szCs w:val="40"/>
        </w:rPr>
        <w:t>.</w:t>
      </w:r>
      <w:r>
        <w:rPr>
          <w:rFonts w:hint="eastAsia" w:ascii="Times New Roman" w:hAnsi="Times New Roman" w:cs="仿宋_GB2312"/>
          <w:szCs w:val="40"/>
        </w:rPr>
        <w:t>5</w:t>
      </w:r>
      <w:r>
        <w:rPr>
          <w:rFonts w:hint="eastAsia" w:hAnsi="仿宋_GB2312" w:cs="仿宋_GB2312"/>
          <w:szCs w:val="40"/>
        </w:rPr>
        <w:t>折。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hAnsi="仿宋_GB2312" w:cs="仿宋_GB2312"/>
          <w:szCs w:val="40"/>
        </w:rPr>
        <w:t>注意：价格计算公式：总价=订购面</w:t>
      </w:r>
      <w:bookmarkStart w:id="0" w:name="_GoBack"/>
      <w:bookmarkEnd w:id="0"/>
      <w:r>
        <w:rPr>
          <w:rFonts w:hint="eastAsia" w:hAnsi="仿宋_GB2312" w:cs="仿宋_GB2312"/>
          <w:szCs w:val="40"/>
        </w:rPr>
        <w:t>积*单价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40"/>
        </w:rPr>
      </w:pPr>
      <w:r>
        <w:rPr>
          <w:rFonts w:hint="eastAsia" w:ascii="黑体" w:hAnsi="黑体" w:eastAsia="黑体" w:cs="黑体"/>
          <w:szCs w:val="40"/>
        </w:rPr>
        <w:t>三、折扣体系</w:t>
      </w:r>
    </w:p>
    <w:p>
      <w:pPr>
        <w:spacing w:line="600" w:lineRule="exact"/>
        <w:ind w:firstLine="640" w:firstLineChars="200"/>
        <w:rPr>
          <w:rFonts w:hAnsi="仿宋_GB2312" w:cs="仿宋_GB2312"/>
          <w:szCs w:val="40"/>
        </w:rPr>
      </w:pPr>
      <w:r>
        <w:rPr>
          <w:rFonts w:hint="eastAsia" w:hAnsi="仿宋_GB2312" w:cs="仿宋_GB2312"/>
          <w:szCs w:val="40"/>
        </w:rPr>
        <w:t>属于世界</w:t>
      </w:r>
      <w:r>
        <w:rPr>
          <w:rFonts w:hint="eastAsia" w:ascii="Times New Roman" w:hAnsi="Times New Roman" w:cs="仿宋_GB2312"/>
          <w:szCs w:val="40"/>
        </w:rPr>
        <w:t>500</w:t>
      </w:r>
      <w:r>
        <w:rPr>
          <w:rFonts w:hint="eastAsia" w:hAnsi="仿宋_GB2312" w:cs="仿宋_GB2312"/>
          <w:szCs w:val="40"/>
        </w:rPr>
        <w:t>强，属于全球数字贸易百强榜的企业（福布斯/赛迪）可直接享受展位标准价的</w:t>
      </w:r>
      <w:r>
        <w:rPr>
          <w:rFonts w:hint="eastAsia" w:ascii="Times New Roman" w:hAnsi="Times New Roman" w:cs="仿宋_GB2312"/>
          <w:szCs w:val="40"/>
        </w:rPr>
        <w:t>6</w:t>
      </w:r>
      <w:r>
        <w:rPr>
          <w:rFonts w:hint="eastAsia" w:hAnsi="仿宋_GB2312" w:cs="仿宋_GB2312"/>
          <w:szCs w:val="40"/>
        </w:rPr>
        <w:t>折优惠。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Ansi="仿宋_GB2312" w:cs="仿宋_GB2312"/>
          <w:szCs w:val="40"/>
        </w:rPr>
        <w:br w:type="page"/>
      </w:r>
      <w:r>
        <w:rPr>
          <w:rFonts w:hint="default" w:ascii="Times New Roman" w:hAnsi="Times New Roman" w:eastAsia="黑体" w:cs="Times New Roman"/>
        </w:rPr>
        <w:t>附件4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参展申请表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725"/>
        <w:gridCol w:w="942"/>
        <w:gridCol w:w="1481"/>
        <w:gridCol w:w="1135"/>
        <w:gridCol w:w="1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27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27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参展面积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参展人数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展品特色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展现形式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7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21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签字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盖章</w:t>
            </w:r>
          </w:p>
        </w:tc>
        <w:tc>
          <w:tcPr>
            <w:tcW w:w="37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eastAsia="仿宋"/>
          <w:sz w:val="28"/>
          <w:szCs w:val="28"/>
        </w:rPr>
      </w:pPr>
      <w:r>
        <w:rPr>
          <w:rFonts w:ascii="Times New Roman" w:eastAsia="仿宋"/>
          <w:sz w:val="28"/>
          <w:szCs w:val="28"/>
        </w:rPr>
        <w:t>以上参展意向申请表请于</w:t>
      </w:r>
      <w:r>
        <w:rPr>
          <w:rFonts w:hint="eastAsia" w:ascii="Times New Roman" w:eastAsia="宋体"/>
          <w:sz w:val="28"/>
          <w:szCs w:val="28"/>
        </w:rPr>
        <w:t>7</w:t>
      </w:r>
      <w:r>
        <w:rPr>
          <w:rFonts w:ascii="Times New Roman" w:eastAsia="仿宋"/>
          <w:sz w:val="28"/>
          <w:szCs w:val="28"/>
        </w:rPr>
        <w:t>月</w:t>
      </w:r>
      <w:r>
        <w:rPr>
          <w:rFonts w:hint="eastAsia" w:ascii="Times New Roman" w:eastAsia="宋体"/>
          <w:sz w:val="28"/>
          <w:szCs w:val="28"/>
        </w:rPr>
        <w:t>21</w:t>
      </w:r>
      <w:r>
        <w:rPr>
          <w:rFonts w:ascii="Times New Roman" w:eastAsia="仿宋"/>
          <w:sz w:val="28"/>
          <w:szCs w:val="28"/>
        </w:rPr>
        <w:t>日前发送至邮箱iris@hangzhouexpo.com</w:t>
      </w:r>
    </w:p>
    <w:p>
      <w:pPr>
        <w:rPr>
          <w:rFonts w:ascii="Times New Roman"/>
          <w:sz w:val="28"/>
          <w:szCs w:val="28"/>
        </w:rPr>
      </w:pPr>
      <w:r>
        <w:rPr>
          <w:rFonts w:ascii="Times New Roman" w:eastAsia="仿宋"/>
          <w:sz w:val="28"/>
          <w:szCs w:val="28"/>
        </w:rPr>
        <w:t>联系人：</w:t>
      </w:r>
      <w:r>
        <w:rPr>
          <w:rFonts w:hint="eastAsia" w:ascii="Times New Roman" w:eastAsia="仿宋"/>
          <w:sz w:val="28"/>
          <w:szCs w:val="28"/>
        </w:rPr>
        <w:t>胡诗晨</w:t>
      </w:r>
      <w:r>
        <w:rPr>
          <w:rFonts w:ascii="Times New Roman" w:eastAsia="仿宋"/>
          <w:sz w:val="28"/>
          <w:szCs w:val="28"/>
        </w:rPr>
        <w:t xml:space="preserve">        联系方式：1</w:t>
      </w:r>
      <w:r>
        <w:rPr>
          <w:rFonts w:hint="eastAsia" w:ascii="Times New Roman" w:eastAsia="仿宋"/>
          <w:sz w:val="28"/>
          <w:szCs w:val="28"/>
        </w:rPr>
        <w:t>9521693949</w:t>
      </w:r>
    </w:p>
    <w:p>
      <w:r>
        <w:rPr>
          <w:rFonts w:ascii="Calibri" w:hAnsi="Calibri" w:eastAsia="宋体"/>
          <w:sz w:val="21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941C7"/>
    <w:multiLevelType w:val="singleLevel"/>
    <w:tmpl w:val="C11941C7"/>
    <w:lvl w:ilvl="0" w:tentative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>
    <w:nsid w:val="4FA43D04"/>
    <w:multiLevelType w:val="singleLevel"/>
    <w:tmpl w:val="4FA43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2IwMTZjMzRjZDU5MTUwYjU3YmI1OTc5YWE5MTgifQ=="/>
  </w:docVars>
  <w:rsids>
    <w:rsidRoot w:val="2907318B"/>
    <w:rsid w:val="290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2024-08-06T02:08:00Z</dcterms:created>
  <dc:creator>唐律疏议</dc:creator>
  <cp:lastModifiedBy>唐律疏议</cp:lastModifiedBy>
  <dcterms:modified xsi:type="dcterms:W3CDTF">2024-08-06T02:08:37Z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A7618596F03D47099FA093D9BE5BB172_11</vt:lpwstr>
  </property>
</Properties>
</file>