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FE666">
      <w:pPr>
        <w:keepNext w:val="0"/>
        <w:keepLines w:val="0"/>
        <w:pageBreakBefore w:val="0"/>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黑体" w:cs="Times New Roman"/>
          <w:sz w:val="32"/>
          <w:szCs w:val="32"/>
        </w:rPr>
      </w:pPr>
      <w:bookmarkStart w:id="3" w:name="_GoBack"/>
      <w:bookmarkEnd w:id="3"/>
      <w:bookmarkStart w:id="0" w:name="_Toc6901857"/>
      <w:r>
        <w:rPr>
          <w:rFonts w:hint="default" w:ascii="Times New Roman" w:hAnsi="Times New Roman" w:eastAsia="黑体" w:cs="Times New Roman"/>
          <w:sz w:val="32"/>
          <w:szCs w:val="32"/>
        </w:rPr>
        <w:t>附件1</w:t>
      </w:r>
    </w:p>
    <w:p w14:paraId="2E33CF64">
      <w:pPr>
        <w:pStyle w:val="2"/>
        <w:keepNext w:val="0"/>
        <w:keepLines w:val="0"/>
        <w:pageBreakBefore w:val="0"/>
        <w:kinsoku/>
        <w:wordWrap/>
        <w:overflowPunct/>
        <w:topLinePunct w:val="0"/>
        <w:autoSpaceDE/>
        <w:autoSpaceDN/>
        <w:bidi w:val="0"/>
        <w:adjustRightInd/>
        <w:snapToGrid/>
        <w:spacing w:afterAutospacing="0" w:line="560" w:lineRule="exact"/>
        <w:ind w:firstLine="0"/>
        <w:textAlignment w:val="auto"/>
        <w:rPr>
          <w:rFonts w:hint="default" w:ascii="Times New Roman" w:hAnsi="Times New Roman" w:cs="Times New Roman"/>
        </w:rPr>
      </w:pPr>
    </w:p>
    <w:p w14:paraId="0E5B959C">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自治区级夜间消费集聚区管理办法</w:t>
      </w:r>
    </w:p>
    <w:p w14:paraId="37BFCA57">
      <w:pPr>
        <w:spacing w:line="60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（试行）</w:t>
      </w:r>
    </w:p>
    <w:p w14:paraId="63EDDC0B">
      <w:pPr>
        <w:spacing w:line="600" w:lineRule="exact"/>
        <w:rPr>
          <w:rFonts w:hint="default" w:ascii="Times New Roman" w:hAnsi="Times New Roman" w:eastAsia="仿宋_GB2312" w:cs="Times New Roman"/>
          <w:sz w:val="32"/>
          <w:szCs w:val="32"/>
        </w:rPr>
      </w:pPr>
    </w:p>
    <w:p w14:paraId="6FB14A5B">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14:paraId="22FE900A">
      <w:pPr>
        <w:spacing w:line="600" w:lineRule="exact"/>
        <w:rPr>
          <w:rFonts w:hint="default" w:ascii="Times New Roman" w:hAnsi="Times New Roman" w:eastAsia="仿宋_GB2312" w:cs="Times New Roman"/>
          <w:sz w:val="32"/>
          <w:szCs w:val="32"/>
        </w:rPr>
      </w:pPr>
    </w:p>
    <w:p w14:paraId="14200A86">
      <w:pPr>
        <w:widowControl/>
        <w:shd w:val="clear" w:color="auto" w:fill="FFFFFF"/>
        <w:spacing w:before="0" w:beforeAutospacing="0" w:after="0" w:line="600" w:lineRule="exact"/>
        <w:ind w:firstLine="640" w:firstLineChars="200"/>
        <w:jc w:val="both"/>
        <w:rPr>
          <w:rFonts w:hint="default" w:ascii="Times New Roman" w:hAnsi="Times New Roman" w:eastAsia="仿宋_GB2312" w:cs="Times New Roman"/>
          <w:kern w:val="2"/>
          <w:sz w:val="32"/>
          <w:szCs w:val="32"/>
          <w:lang w:val="en-US" w:eastAsia="zh-CN" w:bidi="ar-SA"/>
        </w:rPr>
      </w:pPr>
      <w:r>
        <w:rPr>
          <w:rStyle w:val="8"/>
          <w:rFonts w:hint="default" w:ascii="Times New Roman" w:hAnsi="Times New Roman" w:eastAsia="黑体" w:cs="Times New Roman"/>
          <w:b w:val="0"/>
          <w:bCs w:val="0"/>
          <w:kern w:val="2"/>
          <w:sz w:val="32"/>
          <w:szCs w:val="32"/>
          <w:lang w:val="en-US" w:eastAsia="zh-CN" w:bidi="ar-SA"/>
        </w:rPr>
        <w:t>第一条</w:t>
      </w:r>
      <w:r>
        <w:rPr>
          <w:rStyle w:val="8"/>
          <w:rFonts w:hint="default" w:ascii="Times New Roman" w:hAnsi="Times New Roman" w:eastAsia="仿宋_GB2312" w:cs="Times New Roman"/>
          <w:b w:val="0"/>
          <w:bCs w:val="0"/>
          <w:kern w:val="2"/>
          <w:sz w:val="32"/>
          <w:szCs w:val="32"/>
          <w:lang w:val="en-US" w:eastAsia="zh-CN" w:bidi="ar-SA"/>
        </w:rPr>
        <w:t xml:space="preserve">  为深入贯彻落实党中央、国务院及自治区党委、政府</w:t>
      </w:r>
      <w:r>
        <w:rPr>
          <w:rFonts w:hint="default" w:ascii="Times New Roman" w:hAnsi="Times New Roman" w:eastAsia="仿宋_GB2312" w:cs="Times New Roman"/>
          <w:kern w:val="2"/>
          <w:sz w:val="32"/>
          <w:szCs w:val="32"/>
          <w:lang w:val="en-US" w:eastAsia="zh-CN" w:bidi="ar-SA"/>
        </w:rPr>
        <w:t>关于全面促进消费、推进经济高质量发展的决策部署，推动我区夜间经济提质升级，加快打造一批集聚效应高、夜间消费规模大、业态产品丰富多样、管理服务到位、满足群众美好生活需要的</w:t>
      </w:r>
      <w:r>
        <w:rPr>
          <w:rFonts w:hint="default" w:ascii="Times New Roman" w:hAnsi="Times New Roman" w:eastAsia="仿宋_GB2312" w:cs="Times New Roman"/>
          <w:kern w:val="2"/>
          <w:sz w:val="32"/>
          <w:szCs w:val="32"/>
          <w:lang w:val="en" w:eastAsia="zh-CN" w:bidi="ar-SA"/>
        </w:rPr>
        <w:t>夜间消费集聚区</w:t>
      </w:r>
      <w:r>
        <w:rPr>
          <w:rFonts w:hint="default" w:ascii="Times New Roman" w:hAnsi="Times New Roman" w:eastAsia="仿宋_GB2312" w:cs="Times New Roman"/>
          <w:kern w:val="2"/>
          <w:sz w:val="32"/>
          <w:szCs w:val="32"/>
          <w:lang w:val="en-US" w:eastAsia="zh-CN" w:bidi="ar-SA"/>
        </w:rPr>
        <w:t>，切实引领消费方向，激发消费潜力，释放市场活力，特制定本办法。</w:t>
      </w:r>
    </w:p>
    <w:p w14:paraId="411D18E5">
      <w:pPr>
        <w:widowControl/>
        <w:shd w:val="clear" w:color="auto" w:fill="FFFFFF"/>
        <w:spacing w:before="0" w:beforeAutospacing="0" w:after="0" w:line="600" w:lineRule="exact"/>
        <w:ind w:firstLine="640" w:firstLineChars="200"/>
        <w:jc w:val="both"/>
        <w:rPr>
          <w:rStyle w:val="8"/>
          <w:rFonts w:hint="default" w:ascii="Times New Roman" w:hAnsi="Times New Roman" w:eastAsia="仿宋_GB2312" w:cs="Times New Roman"/>
          <w:b w:val="0"/>
          <w:bCs w:val="0"/>
          <w:kern w:val="2"/>
          <w:sz w:val="32"/>
          <w:szCs w:val="32"/>
          <w:lang w:val="en-US" w:eastAsia="zh-CN" w:bidi="ar-SA"/>
        </w:rPr>
      </w:pPr>
      <w:r>
        <w:rPr>
          <w:rStyle w:val="8"/>
          <w:rFonts w:hint="default" w:ascii="Times New Roman" w:hAnsi="Times New Roman" w:eastAsia="黑体" w:cs="Times New Roman"/>
          <w:b w:val="0"/>
          <w:bCs w:val="0"/>
          <w:kern w:val="2"/>
          <w:sz w:val="32"/>
          <w:szCs w:val="32"/>
          <w:lang w:val="en-US" w:eastAsia="zh-CN" w:bidi="ar-SA"/>
        </w:rPr>
        <w:t xml:space="preserve">第二条 </w:t>
      </w:r>
      <w:r>
        <w:rPr>
          <w:rStyle w:val="8"/>
          <w:rFonts w:hint="default" w:ascii="Times New Roman" w:hAnsi="Times New Roman" w:eastAsia="仿宋_GB2312" w:cs="Times New Roman"/>
          <w:b w:val="0"/>
          <w:bCs w:val="0"/>
          <w:kern w:val="2"/>
          <w:sz w:val="32"/>
          <w:szCs w:val="32"/>
          <w:lang w:val="en-US" w:eastAsia="zh-CN" w:bidi="ar-SA"/>
        </w:rPr>
        <w:t xml:space="preserve"> 本</w:t>
      </w:r>
      <w:r>
        <w:rPr>
          <w:rStyle w:val="8"/>
          <w:rFonts w:hint="default" w:ascii="Times New Roman" w:hAnsi="Times New Roman" w:eastAsia="仿宋_GB2312" w:cs="Times New Roman"/>
          <w:b w:val="0"/>
          <w:bCs w:val="0"/>
          <w:kern w:val="2"/>
          <w:sz w:val="32"/>
          <w:szCs w:val="32"/>
          <w:lang w:val="en" w:eastAsia="zh-CN" w:bidi="ar-SA"/>
        </w:rPr>
        <w:t>办法</w:t>
      </w:r>
      <w:r>
        <w:rPr>
          <w:rStyle w:val="8"/>
          <w:rFonts w:hint="default" w:ascii="Times New Roman" w:hAnsi="Times New Roman" w:eastAsia="仿宋_GB2312" w:cs="Times New Roman"/>
          <w:b w:val="0"/>
          <w:bCs w:val="0"/>
          <w:kern w:val="2"/>
          <w:sz w:val="32"/>
          <w:szCs w:val="32"/>
          <w:lang w:val="en-US" w:eastAsia="zh-CN" w:bidi="ar-SA"/>
        </w:rPr>
        <w:t>所称夜间消费集聚区，是指四至范围明确，夜间消费人气聚集、消费业态多元、消费项目集中、消费品牌汇聚，有满足购物餐饮、休闲娱乐、文化体验等夜间消费需求的特定消费区域</w:t>
      </w:r>
      <w:r>
        <w:rPr>
          <w:rFonts w:hint="default" w:ascii="Times New Roman" w:hAnsi="Times New Roman" w:eastAsia="仿宋_GB2312" w:cs="Times New Roman"/>
          <w:kern w:val="2"/>
          <w:sz w:val="32"/>
          <w:szCs w:val="32"/>
          <w:lang w:val="en-US" w:eastAsia="zh-CN" w:bidi="ar-SA"/>
        </w:rPr>
        <w:t>（含特色商业街区、综合体、艺术街区，剧场、博物馆、美术馆、文化娱乐场所集聚区等）。</w:t>
      </w:r>
    </w:p>
    <w:p w14:paraId="6188DFDE">
      <w:pPr>
        <w:widowControl/>
        <w:shd w:val="clear" w:color="auto" w:fill="FFFFFF"/>
        <w:spacing w:before="0" w:beforeAutospacing="0" w:after="0" w:line="600" w:lineRule="exact"/>
        <w:ind w:firstLine="640" w:firstLineChars="200"/>
        <w:jc w:val="both"/>
        <w:rPr>
          <w:rStyle w:val="8"/>
          <w:rFonts w:hint="default" w:ascii="Times New Roman" w:hAnsi="Times New Roman" w:eastAsia="仿宋_GB2312" w:cs="Times New Roman"/>
          <w:b w:val="0"/>
          <w:bCs w:val="0"/>
          <w:kern w:val="2"/>
          <w:sz w:val="32"/>
          <w:szCs w:val="32"/>
          <w:lang w:val="en-US" w:eastAsia="zh-CN" w:bidi="ar-SA"/>
        </w:rPr>
      </w:pPr>
      <w:r>
        <w:rPr>
          <w:rStyle w:val="8"/>
          <w:rFonts w:hint="default" w:ascii="Times New Roman" w:hAnsi="Times New Roman" w:eastAsia="黑体" w:cs="Times New Roman"/>
          <w:b w:val="0"/>
          <w:bCs w:val="0"/>
          <w:kern w:val="2"/>
          <w:sz w:val="32"/>
          <w:szCs w:val="32"/>
          <w:lang w:val="en-US" w:eastAsia="zh-CN" w:bidi="ar-SA"/>
        </w:rPr>
        <w:t>第三条</w:t>
      </w:r>
      <w:r>
        <w:rPr>
          <w:rStyle w:val="8"/>
          <w:rFonts w:hint="default" w:ascii="Times New Roman" w:hAnsi="Times New Roman" w:eastAsia="仿宋_GB2312" w:cs="Times New Roman"/>
          <w:b w:val="0"/>
          <w:bCs w:val="0"/>
          <w:kern w:val="2"/>
          <w:sz w:val="32"/>
          <w:szCs w:val="32"/>
          <w:lang w:val="en-US" w:eastAsia="zh-CN" w:bidi="ar-SA"/>
        </w:rPr>
        <w:t xml:space="preserve">  </w:t>
      </w:r>
      <w:r>
        <w:rPr>
          <w:rStyle w:val="8"/>
          <w:rFonts w:hint="default" w:ascii="Times New Roman" w:hAnsi="Times New Roman" w:eastAsia="仿宋_GB2312" w:cs="Times New Roman"/>
          <w:b w:val="0"/>
          <w:bCs w:val="0"/>
          <w:spacing w:val="-6"/>
          <w:kern w:val="2"/>
          <w:sz w:val="32"/>
          <w:szCs w:val="32"/>
          <w:lang w:val="en-US" w:eastAsia="zh-CN" w:bidi="ar-SA"/>
        </w:rPr>
        <w:t>自治区级夜间消费集聚区认定工作由广西壮族自治区商务厅、文化和旅游厅、体育局（以下简称“自治区商务厅”“自治区文化和旅游厅”“自治区体育局”）组织实施。原则上按照“自愿申报、地方培育、评估验收、社会公示、认定确认”工作流程开展。</w:t>
      </w:r>
    </w:p>
    <w:p w14:paraId="3ADF9E45">
      <w:pPr>
        <w:spacing w:line="600" w:lineRule="exact"/>
        <w:jc w:val="center"/>
        <w:rPr>
          <w:rFonts w:hint="default" w:ascii="Times New Roman" w:hAnsi="Times New Roman" w:eastAsia="黑体" w:cs="Times New Roman"/>
          <w:sz w:val="32"/>
          <w:szCs w:val="32"/>
        </w:rPr>
      </w:pPr>
    </w:p>
    <w:p w14:paraId="73CAB886">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申报条件</w:t>
      </w:r>
    </w:p>
    <w:p w14:paraId="6525CABA">
      <w:pPr>
        <w:spacing w:line="600" w:lineRule="exact"/>
        <w:ind w:firstLine="640" w:firstLineChars="200"/>
        <w:jc w:val="left"/>
        <w:rPr>
          <w:rFonts w:hint="default" w:ascii="Times New Roman" w:hAnsi="Times New Roman" w:eastAsia="黑体" w:cs="Times New Roman"/>
          <w:sz w:val="32"/>
          <w:szCs w:val="32"/>
        </w:rPr>
      </w:pPr>
    </w:p>
    <w:p w14:paraId="03E22A83">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自治区商务厅、文化和旅游厅、体育局制定《自治区级夜间消费集聚区评价指标》（以下简称《评价指标》），并根据发展需要适时修订，指导各设区市商务、文化和旅游、体育行政主管部门对夜间消费集聚区开展试点培育工作。</w:t>
      </w:r>
    </w:p>
    <w:p w14:paraId="7CF9F043">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仿宋_GB2312" w:cs="Times New Roman"/>
          <w:sz w:val="32"/>
          <w:szCs w:val="32"/>
        </w:rPr>
        <w:t xml:space="preserve"> 自治区级夜间消费集聚区应符合《评价指标》要求，具备以下基本条件：</w:t>
      </w:r>
    </w:p>
    <w:p w14:paraId="3A7467DA">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（一）拥护党的路线、方针、政策；</w:t>
      </w:r>
    </w:p>
    <w:p w14:paraId="08C2250D">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（二）集聚区成立专门的运营管理机构；</w:t>
      </w:r>
    </w:p>
    <w:p w14:paraId="70007414">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单位认真落实意识形态工作责任制，集聚区内举办活动、提供产品或服务、宣传言论等方面未出现严重政治导向、价值取向和舆论方向错误，近3年（营业不足3年的自营业之日起）无重大安全生产事故、重大侵犯知识产权、重大侵犯消费者权益事件，无严重违法、违规、违纪行为。</w:t>
      </w:r>
    </w:p>
    <w:p w14:paraId="4239F12E">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（四）规划科学、空间开阔、交通便利、环境优美、设施完善、功能齐全、服务智慧、特色鲜明、活动丰富、机制健全、管理规范、商业繁荣、效益显著，具备科学的集聚区客流量和营业额统计监测条件和功能。</w:t>
      </w:r>
    </w:p>
    <w:p w14:paraId="6170D07A">
      <w:pPr>
        <w:spacing w:line="600" w:lineRule="exact"/>
        <w:jc w:val="left"/>
        <w:rPr>
          <w:rFonts w:hint="default" w:ascii="Times New Roman" w:hAnsi="Times New Roman" w:eastAsia="仿宋_GB2312" w:cs="Times New Roman"/>
          <w:sz w:val="32"/>
          <w:szCs w:val="32"/>
        </w:rPr>
      </w:pPr>
    </w:p>
    <w:p w14:paraId="00AAF00E">
      <w:pPr>
        <w:pStyle w:val="2"/>
        <w:ind w:firstLine="0"/>
        <w:rPr>
          <w:rFonts w:hint="default" w:ascii="Calibri" w:hAnsi="Calibri" w:eastAsia="宋体" w:cs="Times New Roman"/>
          <w:sz w:val="21"/>
          <w:szCs w:val="22"/>
        </w:rPr>
      </w:pPr>
    </w:p>
    <w:p w14:paraId="30A502FA">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申报与认定</w:t>
      </w:r>
    </w:p>
    <w:p w14:paraId="2BA2E4E4">
      <w:pPr>
        <w:spacing w:line="600" w:lineRule="exact"/>
        <w:jc w:val="left"/>
        <w:rPr>
          <w:rFonts w:hint="default" w:ascii="Times New Roman" w:hAnsi="Times New Roman" w:eastAsia="仿宋_GB2312" w:cs="Times New Roman"/>
          <w:sz w:val="32"/>
          <w:szCs w:val="32"/>
        </w:rPr>
      </w:pPr>
    </w:p>
    <w:p w14:paraId="6958304A">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各设区市商务、</w:t>
      </w:r>
      <w:r>
        <w:rPr>
          <w:rFonts w:hint="default" w:ascii="Times New Roman" w:hAnsi="Times New Roman" w:eastAsia="仿宋_GB2312" w:cs="Times New Roman"/>
          <w:sz w:val="32"/>
          <w:szCs w:val="32"/>
          <w:lang w:val="en"/>
        </w:rPr>
        <w:t>文化和旅游、体育行政</w:t>
      </w:r>
      <w:r>
        <w:rPr>
          <w:rFonts w:hint="default" w:ascii="Times New Roman" w:hAnsi="Times New Roman" w:eastAsia="仿宋_GB2312" w:cs="Times New Roman"/>
          <w:sz w:val="32"/>
          <w:szCs w:val="32"/>
        </w:rPr>
        <w:t>主管部门结合地方发展实际，对照《评价指标》，会同有关县（市、区）人民政府，开展行政区域内重点夜间消费集聚区跟踪培育，指导其编制试点培育工作方案，推动设施改造和业态升级。</w:t>
      </w:r>
    </w:p>
    <w:p w14:paraId="6E552E90">
      <w:pPr>
        <w:spacing w:line="600" w:lineRule="exact"/>
        <w:ind w:firstLine="640" w:firstLineChars="200"/>
        <w:jc w:val="both"/>
        <w:rPr>
          <w:rFonts w:hint="default" w:ascii="Times New Roman" w:hAnsi="Times New Roman" w:eastAsia="仿宋_GB2312" w:cs="Times New Roman"/>
          <w:sz w:val="32"/>
          <w:szCs w:val="32"/>
          <w:highlight w:val="yellow"/>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rPr>
        <w:t xml:space="preserve"> 工作原则。自治区级夜间消费集聚区试点培育和验收认定工作原则上每两年为一个周期，按照“第一年试点培育，第二年验收认定”的步骤开展，验收认定对象原则上为上年度确定的试点培育对象。已列入试点培育对象，但在第一个周期内未获评自治区级夜间消费集聚区的，将直接作为下一周期试点培育对象，若连续两个周期仍未获评的，须重新提交申报材料开展新一周期的试点培育申报工作。</w:t>
      </w:r>
    </w:p>
    <w:p w14:paraId="4259DA0E">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试点培育。</w:t>
      </w:r>
    </w:p>
    <w:p w14:paraId="51C779A2">
      <w:pPr>
        <w:spacing w:line="600" w:lineRule="exact"/>
        <w:ind w:firstLine="616" w:firstLineChars="200"/>
        <w:jc w:val="both"/>
        <w:rPr>
          <w:rFonts w:hint="default" w:ascii="Times New Roman" w:hAnsi="Times New Roman" w:eastAsia="仿宋_GB2312" w:cs="Times New Roman"/>
          <w:spacing w:val="-6"/>
          <w:sz w:val="32"/>
          <w:szCs w:val="32"/>
        </w:rPr>
      </w:pPr>
      <w:r>
        <w:rPr>
          <w:rFonts w:hint="default" w:ascii="Times New Roman" w:hAnsi="Times New Roman" w:eastAsia="楷体_GB2312" w:cs="Times New Roman"/>
          <w:spacing w:val="-6"/>
          <w:sz w:val="32"/>
          <w:szCs w:val="32"/>
        </w:rPr>
        <w:t>（一）申请试点。</w:t>
      </w:r>
      <w:r>
        <w:rPr>
          <w:rFonts w:hint="default" w:ascii="Times New Roman" w:hAnsi="Times New Roman" w:eastAsia="仿宋_GB2312" w:cs="Times New Roman"/>
          <w:spacing w:val="-6"/>
          <w:sz w:val="32"/>
          <w:szCs w:val="32"/>
        </w:rPr>
        <w:t>夜间消费集聚区管理机构向所在地设区市商务、文化和旅游、体育行政主管部门提出试点培育申请，并提交以下申报材料：</w:t>
      </w:r>
    </w:p>
    <w:p w14:paraId="16E512C9">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1.夜间消费集聚区试点培育申报推荐表、试点培育方案，主要包含现有基础、提升计划、提升目标等内容。</w:t>
      </w:r>
    </w:p>
    <w:p w14:paraId="6CBA90EB">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2.《评价指标》自评分数、自评报告及对应的佐证材料。</w:t>
      </w:r>
    </w:p>
    <w:p w14:paraId="466C0947">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3.其他需要提供的材料。</w:t>
      </w:r>
    </w:p>
    <w:p w14:paraId="4C212908">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（二）市级初审推荐。</w:t>
      </w:r>
      <w:r>
        <w:rPr>
          <w:rFonts w:hint="default" w:ascii="Times New Roman" w:hAnsi="Times New Roman" w:eastAsia="仿宋_GB2312" w:cs="Times New Roman"/>
          <w:sz w:val="32"/>
          <w:szCs w:val="32"/>
        </w:rPr>
        <w:t>设区市商务、文化和旅游、体育</w:t>
      </w:r>
      <w:r>
        <w:rPr>
          <w:rFonts w:hint="default" w:ascii="Times New Roman" w:hAnsi="Times New Roman" w:eastAsia="仿宋_GB2312" w:cs="Times New Roman"/>
          <w:spacing w:val="-6"/>
          <w:sz w:val="32"/>
          <w:szCs w:val="32"/>
        </w:rPr>
        <w:t>行政</w:t>
      </w:r>
      <w:r>
        <w:rPr>
          <w:rFonts w:hint="default" w:ascii="Times New Roman" w:hAnsi="Times New Roman" w:eastAsia="仿宋_GB2312" w:cs="Times New Roman"/>
          <w:sz w:val="32"/>
          <w:szCs w:val="32"/>
        </w:rPr>
        <w:t>主管部门负责对本行政区域内夜间消费集聚区管理机构提交的材料进行初审，择优向自治区商务厅推荐报送。</w:t>
      </w:r>
    </w:p>
    <w:p w14:paraId="73B4E758">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（三）评审确定试点培育对象。</w:t>
      </w:r>
      <w:r>
        <w:rPr>
          <w:rFonts w:hint="default" w:ascii="Times New Roman" w:hAnsi="Times New Roman" w:eastAsia="仿宋_GB2312" w:cs="Times New Roman"/>
          <w:sz w:val="32"/>
          <w:szCs w:val="32"/>
        </w:rPr>
        <w:t>自治区商务厅会同自治区文化和旅游厅、体育局根据需要委托第三方机构或评审专家，遵循公平、公正、公开原则，结合材料审查、现场核查、查阅资料等形式进行评审，根据评审意见，提出试点培育对象建议名单，并进行公示，公示期5个工作日。任何单位或个人对公示名单有不同意见的，均可向自治区商务厅提出异议，并提供详实的书面举证材料。在公示期间无异议或者异议不成立的，确认为“自治区级夜间消费集聚区试点培育对象”。</w:t>
      </w:r>
    </w:p>
    <w:p w14:paraId="3D1C084F">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楷体_GB2312" w:cs="Times New Roman"/>
          <w:sz w:val="32"/>
          <w:szCs w:val="32"/>
        </w:rPr>
        <w:t>（四）开展试点培育。</w:t>
      </w:r>
      <w:r>
        <w:rPr>
          <w:rFonts w:hint="default" w:ascii="Times New Roman" w:hAnsi="Times New Roman" w:eastAsia="仿宋_GB2312" w:cs="Times New Roman"/>
          <w:sz w:val="32"/>
          <w:szCs w:val="32"/>
        </w:rPr>
        <w:t>设区市商务、文化和旅游、体育</w:t>
      </w:r>
      <w:r>
        <w:rPr>
          <w:rFonts w:hint="default" w:ascii="Times New Roman" w:hAnsi="Times New Roman" w:eastAsia="仿宋_GB2312" w:cs="Times New Roman"/>
          <w:spacing w:val="-6"/>
          <w:sz w:val="32"/>
          <w:szCs w:val="32"/>
        </w:rPr>
        <w:t>行政</w:t>
      </w:r>
      <w:r>
        <w:rPr>
          <w:rFonts w:hint="default" w:ascii="Times New Roman" w:hAnsi="Times New Roman" w:eastAsia="仿宋_GB2312" w:cs="Times New Roman"/>
          <w:sz w:val="32"/>
          <w:szCs w:val="32"/>
        </w:rPr>
        <w:t>主管部门会同有关县（市、区）人民政府对“自治区级夜间消费集聚区试点培育对象”进行培育和指导，监测集聚区</w:t>
      </w:r>
      <w:r>
        <w:rPr>
          <w:rFonts w:hint="default" w:ascii="Times New Roman" w:hAnsi="Times New Roman" w:eastAsia="仿宋_GB2312" w:cs="Times New Roman"/>
          <w:sz w:val="32"/>
          <w:szCs w:val="32"/>
          <w:lang w:val="en"/>
        </w:rPr>
        <w:t>重点节假日、月度、季度、年度经营情况并及时报送至自治区商务厅。试点培育对象需每个季度按时报送试点提升进展情况至所在地设区市商务主管部门和自治区商务厅。</w:t>
      </w:r>
    </w:p>
    <w:p w14:paraId="162CD5CC">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
        </w:rPr>
        <w:t>第九条</w:t>
      </w:r>
      <w:r>
        <w:rPr>
          <w:rFonts w:hint="default" w:ascii="Times New Roman" w:hAnsi="Times New Roman" w:eastAsia="仿宋_GB2312" w:cs="Times New Roman"/>
          <w:sz w:val="32"/>
          <w:szCs w:val="32"/>
        </w:rPr>
        <w:t xml:space="preserve"> 验收认定。</w:t>
      </w:r>
    </w:p>
    <w:p w14:paraId="2845D1D5">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（一）试点验收。</w:t>
      </w:r>
      <w:r>
        <w:rPr>
          <w:rFonts w:hint="default" w:ascii="Times New Roman" w:hAnsi="Times New Roman" w:eastAsia="仿宋_GB2312" w:cs="Times New Roman"/>
          <w:sz w:val="32"/>
          <w:szCs w:val="32"/>
        </w:rPr>
        <w:t>自治区商务厅会同自治区文化和旅游厅、体育局对上年度入选的试点培育对象开展验收认定工作，试点培育对象需提交以下验收材料：</w:t>
      </w:r>
    </w:p>
    <w:p w14:paraId="6151CE89">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1.《评价指标》自评分数、自评报告及对应的佐证材料；</w:t>
      </w:r>
    </w:p>
    <w:p w14:paraId="68B7C9F5">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2.试点培育成果报告，主要包括原有基础、对照试点培育方案突出所做工作与原有基础的变化、已有经验、突出成效以及发挥的引领带动作用等；</w:t>
      </w:r>
    </w:p>
    <w:p w14:paraId="630E9ABF">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3.其他需要提供的材料。</w:t>
      </w:r>
    </w:p>
    <w:p w14:paraId="7BB84300">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（二）评审认定。</w:t>
      </w:r>
      <w:r>
        <w:rPr>
          <w:rFonts w:hint="default" w:ascii="Times New Roman" w:hAnsi="Times New Roman" w:eastAsia="仿宋_GB2312" w:cs="Times New Roman"/>
          <w:sz w:val="32"/>
          <w:szCs w:val="32"/>
        </w:rPr>
        <w:t>自治区商务厅会同自治区文化和旅游厅、体育局根据需要委托第三方机构或评审专家开展评审认定工作，遵循公平、公正、公开原则，结合材料审查、现场调查、查阅档案等形式进行评审，提出建议名单，并进行公示，公示期5个工作日。任何单位或个人对名单有不同意见的，均可向自治区商务厅提出异议，并提供详实的书面举证材料。在公示期间无异议或者异议不成立的，认定为“自治区级夜间消费集聚区”。</w:t>
      </w:r>
    </w:p>
    <w:p w14:paraId="75082FE1">
      <w:pPr>
        <w:spacing w:line="600" w:lineRule="exact"/>
        <w:jc w:val="center"/>
        <w:rPr>
          <w:rFonts w:hint="default" w:ascii="Times New Roman" w:hAnsi="Times New Roman" w:eastAsia="黑体" w:cs="Times New Roman"/>
          <w:sz w:val="32"/>
          <w:szCs w:val="32"/>
        </w:rPr>
      </w:pPr>
    </w:p>
    <w:p w14:paraId="76A804EB">
      <w:pPr>
        <w:spacing w:line="600" w:lineRule="exact"/>
        <w:jc w:val="center"/>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第四章  支持</w:t>
      </w:r>
      <w:r>
        <w:rPr>
          <w:rFonts w:hint="default" w:ascii="Times New Roman" w:hAnsi="Times New Roman" w:eastAsia="黑体" w:cs="Times New Roman"/>
          <w:sz w:val="32"/>
          <w:szCs w:val="32"/>
          <w:lang w:val="en" w:eastAsia="zh-CN"/>
        </w:rPr>
        <w:t>内容</w:t>
      </w:r>
    </w:p>
    <w:p w14:paraId="6201F699">
      <w:pPr>
        <w:spacing w:line="600" w:lineRule="exact"/>
        <w:ind w:firstLine="640" w:firstLineChars="200"/>
        <w:jc w:val="left"/>
        <w:rPr>
          <w:rFonts w:hint="default" w:ascii="Times New Roman" w:hAnsi="Times New Roman" w:eastAsia="黑体" w:cs="Times New Roman"/>
          <w:sz w:val="32"/>
          <w:szCs w:val="32"/>
        </w:rPr>
      </w:pPr>
    </w:p>
    <w:p w14:paraId="5A078B47">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第十条 </w:t>
      </w:r>
      <w:r>
        <w:rPr>
          <w:rFonts w:hint="default" w:ascii="Times New Roman" w:hAnsi="Times New Roman" w:eastAsia="仿宋_GB2312" w:cs="Times New Roman"/>
          <w:sz w:val="32"/>
          <w:szCs w:val="32"/>
        </w:rPr>
        <w:t xml:space="preserve"> 自治区商务厅、文化和旅游厅、体育局为获评“自治区级夜间消费集聚区”的对象颁发牌匾</w:t>
      </w:r>
      <w:r>
        <w:rPr>
          <w:rFonts w:hint="default" w:ascii="Times New Roman" w:hAnsi="Times New Roman" w:eastAsia="仿宋_GB2312" w:cs="Times New Roman"/>
          <w:sz w:val="32"/>
          <w:szCs w:val="32"/>
          <w:lang w:val="en"/>
        </w:rPr>
        <w:t>并按照有关政策给予支持</w:t>
      </w:r>
      <w:r>
        <w:rPr>
          <w:rFonts w:hint="default" w:ascii="Times New Roman" w:hAnsi="Times New Roman" w:eastAsia="仿宋_GB2312" w:cs="Times New Roman"/>
          <w:sz w:val="32"/>
          <w:szCs w:val="32"/>
        </w:rPr>
        <w:t>。</w:t>
      </w:r>
    </w:p>
    <w:p w14:paraId="1CBBE9CD">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黑体" w:cs="Times New Roman"/>
          <w:sz w:val="32"/>
          <w:szCs w:val="32"/>
          <w:lang w:val="en"/>
        </w:rPr>
        <w:t>第十一条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
        </w:rPr>
        <w:t>主要</w:t>
      </w:r>
      <w:r>
        <w:rPr>
          <w:rFonts w:hint="default" w:ascii="Times New Roman" w:hAnsi="Times New Roman" w:eastAsia="仿宋_GB2312" w:cs="Times New Roman"/>
          <w:sz w:val="32"/>
          <w:szCs w:val="32"/>
          <w:lang w:val="en" w:eastAsia="zh-CN"/>
        </w:rPr>
        <w:t>支持内容如</w:t>
      </w:r>
      <w:r>
        <w:rPr>
          <w:rFonts w:hint="default" w:ascii="Times New Roman" w:hAnsi="Times New Roman" w:eastAsia="仿宋_GB2312" w:cs="Times New Roman"/>
          <w:sz w:val="32"/>
          <w:szCs w:val="32"/>
          <w:lang w:val="en"/>
        </w:rPr>
        <w:t>下：</w:t>
      </w:r>
    </w:p>
    <w:p w14:paraId="27D9521C">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（一）</w:t>
      </w:r>
      <w:r>
        <w:rPr>
          <w:rFonts w:hint="default" w:ascii="Times New Roman" w:hAnsi="Times New Roman" w:eastAsia="仿宋_GB2312" w:cs="Times New Roman"/>
          <w:sz w:val="32"/>
          <w:szCs w:val="32"/>
        </w:rPr>
        <w:t>开展促消费主题活动。</w:t>
      </w:r>
      <w:r>
        <w:rPr>
          <w:rFonts w:hint="default" w:ascii="Times New Roman" w:hAnsi="Times New Roman" w:eastAsia="仿宋_GB2312" w:cs="Times New Roman"/>
          <w:sz w:val="32"/>
          <w:szCs w:val="32"/>
          <w:lang w:val="en"/>
        </w:rPr>
        <w:t>积极参与、配合政府部门举办的各类促消费主题活动等；</w:t>
      </w:r>
    </w:p>
    <w:p w14:paraId="5CD9E09E">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（二）活跃集聚区夜间消费氛围。支持集聚区开展</w:t>
      </w:r>
      <w:r>
        <w:rPr>
          <w:rFonts w:hint="default" w:ascii="Times New Roman" w:hAnsi="Times New Roman" w:eastAsia="仿宋_GB2312" w:cs="Times New Roman"/>
          <w:sz w:val="32"/>
          <w:szCs w:val="32"/>
        </w:rPr>
        <w:t>夜购、夜食、夜游、夜健、夜演、夜读、夜展、夜宿等</w:t>
      </w:r>
      <w:r>
        <w:rPr>
          <w:rFonts w:hint="default" w:ascii="Times New Roman" w:hAnsi="Times New Roman" w:eastAsia="仿宋_GB2312" w:cs="Times New Roman"/>
          <w:sz w:val="32"/>
          <w:szCs w:val="32"/>
          <w:lang w:val="en"/>
        </w:rPr>
        <w:t>主题活动；</w:t>
      </w:r>
    </w:p>
    <w:p w14:paraId="2DF8B87E">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（三）加强主体培育。培育壮大集聚区主体及集聚区内零售、餐饮、住宿市场主体，引进消费新业态新模式、首店品牌、国内外连锁品牌等，提升消费品牌竞争力；</w:t>
      </w:r>
    </w:p>
    <w:p w14:paraId="10B0FC13">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（四）商贸基础设施改造提升。主要包括集聚区内部环境设施、无障碍设施、标识导示设施、应急避难设施改造提升等；</w:t>
      </w:r>
    </w:p>
    <w:p w14:paraId="06F69F57">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（五）智慧化、数字化提升。主要加强集聚区客流、销售监测和分析，包括智能安全监控设施、信息服务平台、大数据管理平台等提升；加强信息服务平台运作能力（包括</w:t>
      </w:r>
      <w:r>
        <w:rPr>
          <w:rFonts w:hint="default" w:ascii="Times New Roman" w:hAnsi="Times New Roman" w:eastAsia="仿宋_GB2312" w:cs="Times New Roman"/>
          <w:sz w:val="32"/>
          <w:szCs w:val="32"/>
        </w:rPr>
        <w:t>APP、公众号、小程序等移动应用</w:t>
      </w:r>
      <w:r>
        <w:rPr>
          <w:rFonts w:hint="default" w:ascii="Times New Roman" w:hAnsi="Times New Roman" w:eastAsia="仿宋_GB2312" w:cs="Times New Roman"/>
          <w:sz w:val="32"/>
          <w:szCs w:val="32"/>
          <w:lang w:val="en"/>
        </w:rPr>
        <w:t>），为商户提供线上线下融合的多样服务，为消费者提供精准导购、积分促销、移动支付、智能停车等服务。</w:t>
      </w:r>
    </w:p>
    <w:p w14:paraId="1DEBBC7C">
      <w:pPr>
        <w:spacing w:line="600" w:lineRule="exact"/>
        <w:jc w:val="both"/>
        <w:rPr>
          <w:rFonts w:hint="default" w:ascii="Times New Roman" w:hAnsi="Times New Roman" w:eastAsia="黑体" w:cs="Times New Roman"/>
          <w:sz w:val="32"/>
          <w:szCs w:val="32"/>
        </w:rPr>
      </w:pPr>
    </w:p>
    <w:p w14:paraId="641D7911">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第五章  </w:t>
      </w:r>
      <w:r>
        <w:rPr>
          <w:rFonts w:hint="default" w:ascii="Times New Roman" w:hAnsi="Times New Roman" w:eastAsia="黑体" w:cs="Times New Roman"/>
          <w:sz w:val="32"/>
          <w:szCs w:val="32"/>
          <w:lang w:val="en"/>
        </w:rPr>
        <w:t>监督</w:t>
      </w:r>
      <w:r>
        <w:rPr>
          <w:rFonts w:hint="default" w:ascii="Times New Roman" w:hAnsi="Times New Roman" w:eastAsia="黑体" w:cs="Times New Roman"/>
          <w:sz w:val="32"/>
          <w:szCs w:val="32"/>
        </w:rPr>
        <w:t>管理</w:t>
      </w:r>
    </w:p>
    <w:p w14:paraId="02714D69">
      <w:pPr>
        <w:spacing w:line="600" w:lineRule="exact"/>
        <w:ind w:firstLine="640" w:firstLineChars="200"/>
        <w:jc w:val="both"/>
        <w:rPr>
          <w:rFonts w:hint="default" w:ascii="Times New Roman" w:hAnsi="Times New Roman" w:eastAsia="仿宋_GB2312" w:cs="Times New Roman"/>
          <w:sz w:val="32"/>
          <w:szCs w:val="32"/>
        </w:rPr>
      </w:pPr>
    </w:p>
    <w:p w14:paraId="0453CC39">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 w:eastAsia="zh-CN"/>
        </w:rPr>
        <w:t>二</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自治区级夜间消费集聚区应</w:t>
      </w:r>
      <w:r>
        <w:rPr>
          <w:rFonts w:hint="default" w:ascii="Times New Roman" w:hAnsi="Times New Roman" w:eastAsia="仿宋_GB2312" w:cs="Times New Roman"/>
          <w:sz w:val="32"/>
          <w:szCs w:val="32"/>
          <w:lang w:val="en"/>
        </w:rPr>
        <w:t>当</w:t>
      </w:r>
      <w:r>
        <w:rPr>
          <w:rFonts w:hint="default" w:ascii="Times New Roman" w:hAnsi="Times New Roman" w:eastAsia="仿宋_GB2312" w:cs="Times New Roman"/>
          <w:sz w:val="32"/>
          <w:szCs w:val="32"/>
        </w:rPr>
        <w:t>及时总结经验和做法，探索发展新业态新模式新场景，着力持续扩大消费</w:t>
      </w:r>
      <w:r>
        <w:rPr>
          <w:rFonts w:hint="default" w:ascii="Times New Roman" w:hAnsi="Times New Roman" w:eastAsia="仿宋_GB2312" w:cs="Times New Roman"/>
          <w:sz w:val="32"/>
          <w:szCs w:val="32"/>
          <w:lang w:val="en"/>
        </w:rPr>
        <w:t>，发挥引领作用。</w:t>
      </w:r>
    </w:p>
    <w:p w14:paraId="264ECAEA">
      <w:pPr>
        <w:spacing w:line="600" w:lineRule="exact"/>
        <w:ind w:firstLine="640" w:firstLineChars="200"/>
        <w:jc w:val="both"/>
        <w:rPr>
          <w:rFonts w:hint="default" w:ascii="Times New Roman" w:hAnsi="Times New Roman" w:eastAsia="仿宋_GB2312" w:cs="Times New Roman"/>
          <w:sz w:val="32"/>
          <w:szCs w:val="32"/>
          <w:lang w:val="e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
        </w:rPr>
        <w:t xml:space="preserve">  自治区商务厅</w:t>
      </w:r>
      <w:r>
        <w:rPr>
          <w:rFonts w:hint="default" w:ascii="Times New Roman" w:hAnsi="Times New Roman" w:eastAsia="仿宋_GB2312" w:cs="Times New Roman"/>
          <w:sz w:val="32"/>
          <w:szCs w:val="32"/>
        </w:rPr>
        <w:t>、文化和旅游厅、体育局</w:t>
      </w:r>
      <w:r>
        <w:rPr>
          <w:rFonts w:hint="default" w:ascii="Times New Roman" w:hAnsi="Times New Roman" w:eastAsia="仿宋_GB2312" w:cs="Times New Roman"/>
          <w:sz w:val="32"/>
          <w:szCs w:val="32"/>
          <w:lang w:val="en"/>
        </w:rPr>
        <w:t>，各级商务、文化和旅游、体育</w:t>
      </w:r>
      <w:r>
        <w:rPr>
          <w:rFonts w:hint="default" w:ascii="Times New Roman" w:hAnsi="Times New Roman" w:eastAsia="仿宋_GB2312" w:cs="Times New Roman"/>
          <w:spacing w:val="-6"/>
          <w:sz w:val="32"/>
          <w:szCs w:val="32"/>
        </w:rPr>
        <w:t>行政</w:t>
      </w:r>
      <w:r>
        <w:rPr>
          <w:rFonts w:hint="default" w:ascii="Times New Roman" w:hAnsi="Times New Roman" w:eastAsia="仿宋_GB2312" w:cs="Times New Roman"/>
          <w:sz w:val="32"/>
          <w:szCs w:val="32"/>
          <w:lang w:val="en"/>
        </w:rPr>
        <w:t>主管部门积极组织自治区级</w:t>
      </w:r>
      <w:r>
        <w:rPr>
          <w:rFonts w:hint="default" w:ascii="Times New Roman" w:hAnsi="Times New Roman" w:eastAsia="仿宋_GB2312" w:cs="Times New Roman"/>
          <w:sz w:val="32"/>
          <w:szCs w:val="32"/>
        </w:rPr>
        <w:t>夜间消费集聚区</w:t>
      </w:r>
      <w:r>
        <w:rPr>
          <w:rFonts w:hint="default" w:ascii="Times New Roman" w:hAnsi="Times New Roman" w:eastAsia="仿宋_GB2312" w:cs="Times New Roman"/>
          <w:sz w:val="32"/>
          <w:szCs w:val="32"/>
          <w:lang w:val="en"/>
        </w:rPr>
        <w:t xml:space="preserve">及试点培育对象开展促消费活动，宣传推广集聚区典型经验做法。 </w:t>
      </w:r>
    </w:p>
    <w:p w14:paraId="6C42F3A0">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lang w:val="e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
        </w:rPr>
        <w:t>自治区级</w:t>
      </w:r>
      <w:r>
        <w:rPr>
          <w:rFonts w:hint="default" w:ascii="Times New Roman" w:hAnsi="Times New Roman" w:eastAsia="仿宋_GB2312" w:cs="Times New Roman"/>
          <w:sz w:val="32"/>
          <w:szCs w:val="32"/>
        </w:rPr>
        <w:t>夜间消费集聚区</w:t>
      </w:r>
      <w:r>
        <w:rPr>
          <w:rFonts w:hint="default" w:ascii="Times New Roman" w:hAnsi="Times New Roman" w:eastAsia="仿宋_GB2312" w:cs="Times New Roman"/>
          <w:sz w:val="32"/>
          <w:szCs w:val="32"/>
          <w:lang w:val="en"/>
        </w:rPr>
        <w:t>及试点培育对象应当</w:t>
      </w:r>
      <w:r>
        <w:rPr>
          <w:rFonts w:hint="default" w:ascii="Times New Roman" w:hAnsi="Times New Roman" w:eastAsia="仿宋_GB2312" w:cs="Times New Roman"/>
          <w:sz w:val="32"/>
          <w:szCs w:val="32"/>
        </w:rPr>
        <w:t>于每年11月30日前向自治区商务厅和</w:t>
      </w:r>
      <w:r>
        <w:rPr>
          <w:rFonts w:hint="default" w:ascii="Times New Roman" w:hAnsi="Times New Roman" w:eastAsia="仿宋_GB2312" w:cs="Times New Roman"/>
          <w:sz w:val="32"/>
          <w:szCs w:val="32"/>
          <w:lang w:val="en"/>
        </w:rPr>
        <w:t>所在地</w:t>
      </w:r>
      <w:r>
        <w:rPr>
          <w:rFonts w:hint="default" w:ascii="Times New Roman" w:hAnsi="Times New Roman" w:eastAsia="仿宋_GB2312" w:cs="Times New Roman"/>
          <w:sz w:val="32"/>
          <w:szCs w:val="32"/>
        </w:rPr>
        <w:t>设区市商务主管部门报告本年度工作情况及下年度工作计划，包括但不限于集聚区年度经营情况（含业态、销售、客流、商铺空置率等）、促消费活动开展情况及成效、</w:t>
      </w:r>
      <w:r>
        <w:rPr>
          <w:rFonts w:hint="default" w:ascii="Times New Roman" w:hAnsi="Times New Roman" w:eastAsia="仿宋_GB2312" w:cs="Times New Roman"/>
          <w:sz w:val="32"/>
          <w:szCs w:val="32"/>
          <w:lang w:eastAsia="zh-CN"/>
        </w:rPr>
        <w:t>支持措施落实</w:t>
      </w:r>
      <w:r>
        <w:rPr>
          <w:rFonts w:hint="default" w:ascii="Times New Roman" w:hAnsi="Times New Roman" w:eastAsia="仿宋_GB2312" w:cs="Times New Roman"/>
          <w:sz w:val="32"/>
          <w:szCs w:val="32"/>
        </w:rPr>
        <w:t>情况、基础设施改造提升情况等</w:t>
      </w:r>
      <w:r>
        <w:rPr>
          <w:rFonts w:hint="default" w:ascii="Times New Roman" w:hAnsi="Times New Roman" w:eastAsia="仿宋_GB2312" w:cs="Times New Roman"/>
          <w:sz w:val="32"/>
          <w:szCs w:val="32"/>
          <w:lang w:val="en"/>
        </w:rPr>
        <w:t>。</w:t>
      </w:r>
      <w:r>
        <w:rPr>
          <w:rFonts w:hint="default" w:ascii="Times New Roman" w:hAnsi="Times New Roman" w:eastAsia="仿宋_GB2312" w:cs="Times New Roman"/>
          <w:sz w:val="32"/>
          <w:szCs w:val="32"/>
        </w:rPr>
        <w:t>每季度及重点节假日、重要时间节点报送促消费活动计划、客流量、营业额等主要指标及变化情况，每年更新集聚区业态、设施等基本情况。</w:t>
      </w:r>
    </w:p>
    <w:p w14:paraId="08508B58">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val="en" w:eastAsia="zh-CN"/>
        </w:rPr>
        <w:t>五</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自治区级夜间消费集聚区名称发生变更的，应及时向自治区商务厅和所在地设区市商务主管部门报告。</w:t>
      </w:r>
    </w:p>
    <w:p w14:paraId="5F8772A2">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
        </w:rPr>
        <w:t>第十</w:t>
      </w:r>
      <w:r>
        <w:rPr>
          <w:rFonts w:hint="default" w:ascii="Times New Roman" w:hAnsi="Times New Roman" w:eastAsia="黑体" w:cs="Times New Roman"/>
          <w:sz w:val="32"/>
          <w:szCs w:val="32"/>
          <w:lang w:val="en" w:eastAsia="zh-CN"/>
        </w:rPr>
        <w:t>六</w:t>
      </w:r>
      <w:r>
        <w:rPr>
          <w:rFonts w:hint="default" w:ascii="Times New Roman" w:hAnsi="Times New Roman" w:eastAsia="黑体" w:cs="Times New Roman"/>
          <w:sz w:val="32"/>
          <w:szCs w:val="32"/>
          <w:lang w:val="en"/>
        </w:rPr>
        <w:t>条</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自治区商务厅、文化和旅游厅、体育局对自治区级夜间消费集聚区实施“有进有出”动态管理制度，出现下列情况之一的，自治区商务厅、文化和旅游厅、体育局可以撤销其称号</w:t>
      </w:r>
      <w:r>
        <w:rPr>
          <w:rFonts w:hint="default" w:ascii="Times New Roman" w:hAnsi="Times New Roman" w:eastAsia="仿宋_GB2312" w:cs="Times New Roman"/>
          <w:sz w:val="32"/>
          <w:szCs w:val="32"/>
          <w:lang w:val="en"/>
        </w:rPr>
        <w:t>，收回牌匾</w:t>
      </w:r>
      <w:r>
        <w:rPr>
          <w:rFonts w:hint="default" w:ascii="Times New Roman" w:hAnsi="Times New Roman" w:eastAsia="仿宋_GB2312" w:cs="Times New Roman"/>
          <w:sz w:val="32"/>
          <w:szCs w:val="32"/>
        </w:rPr>
        <w:t>：</w:t>
      </w:r>
    </w:p>
    <w:p w14:paraId="036529F3">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（一）发生重大安全生产责任事故、存在意识形态风险，未能采取有效措施及时遏制，造成恶劣影响的；</w:t>
      </w:r>
    </w:p>
    <w:p w14:paraId="4E370D31">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（二）集聚区内经营主体出现</w:t>
      </w:r>
      <w:r>
        <w:rPr>
          <w:rFonts w:hint="default" w:ascii="Times New Roman" w:hAnsi="Times New Roman" w:eastAsia="仿宋_GB2312" w:cs="Times New Roman"/>
          <w:sz w:val="32"/>
          <w:szCs w:val="32"/>
          <w:lang w:eastAsia="zh-CN"/>
        </w:rPr>
        <w:t>重大违反</w:t>
      </w:r>
      <w:r>
        <w:rPr>
          <w:rFonts w:hint="default" w:ascii="Times New Roman" w:hAnsi="Times New Roman" w:eastAsia="仿宋_GB2312" w:cs="Times New Roman"/>
          <w:sz w:val="32"/>
          <w:szCs w:val="32"/>
        </w:rPr>
        <w:t>诚信经营事件、侵犯知识产权事件</w:t>
      </w:r>
      <w:r>
        <w:rPr>
          <w:rFonts w:hint="default" w:ascii="Times New Roman" w:hAnsi="Times New Roman" w:eastAsia="仿宋_GB2312" w:cs="Times New Roman"/>
          <w:sz w:val="32"/>
          <w:szCs w:val="32"/>
          <w:lang w:eastAsia="zh-CN"/>
        </w:rPr>
        <w:t>、食品安全事故</w:t>
      </w:r>
      <w:r>
        <w:rPr>
          <w:rFonts w:hint="default" w:ascii="Times New Roman" w:hAnsi="Times New Roman" w:eastAsia="仿宋_GB2312" w:cs="Times New Roman"/>
          <w:sz w:val="32"/>
          <w:szCs w:val="32"/>
        </w:rPr>
        <w:t>，未采取有效措施及时遏制，或督促整改不到位，造成恶劣影响的；</w:t>
      </w:r>
    </w:p>
    <w:p w14:paraId="25E41C03">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（三）集聚区经营不善，发展情况不理想，按要求整改后仍难以恢复良好经营的；</w:t>
      </w:r>
    </w:p>
    <w:p w14:paraId="7B531A5E">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（四）未按照本办法</w:t>
      </w:r>
      <w:r>
        <w:rPr>
          <w:rFonts w:hint="default" w:ascii="Times New Roman" w:hAnsi="Times New Roman" w:eastAsia="仿宋_GB2312" w:cs="Times New Roman"/>
          <w:sz w:val="32"/>
          <w:szCs w:val="32"/>
          <w:lang w:eastAsia="zh-CN"/>
        </w:rPr>
        <w:t>有关要求</w:t>
      </w:r>
      <w:r>
        <w:rPr>
          <w:rFonts w:hint="default" w:ascii="Times New Roman" w:hAnsi="Times New Roman" w:eastAsia="仿宋_GB2312" w:cs="Times New Roman"/>
          <w:sz w:val="32"/>
          <w:szCs w:val="32"/>
        </w:rPr>
        <w:t>开展工作，重点节假日、月度、季度、年度报送相关监测数据和经营情况不及时、弄虚作假，组织和配合政府部门开展促消费活动不力</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，经督促整改后仍不改正的；</w:t>
      </w:r>
    </w:p>
    <w:p w14:paraId="2D704A6F">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rPr>
        <w:t>（五）</w:t>
      </w:r>
      <w:r>
        <w:rPr>
          <w:rFonts w:hint="default" w:ascii="Times New Roman" w:hAnsi="Times New Roman" w:eastAsia="仿宋_GB2312" w:cs="Times New Roman"/>
          <w:sz w:val="32"/>
          <w:szCs w:val="32"/>
        </w:rPr>
        <w:t>其他依法应予撤销的情形。</w:t>
      </w:r>
    </w:p>
    <w:p w14:paraId="3A79D97C">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
        </w:rPr>
        <w:t>第十</w:t>
      </w:r>
      <w:r>
        <w:rPr>
          <w:rFonts w:hint="default" w:ascii="Times New Roman" w:hAnsi="Times New Roman" w:eastAsia="黑体" w:cs="Times New Roman"/>
          <w:sz w:val="32"/>
          <w:szCs w:val="32"/>
          <w:lang w:val="en" w:eastAsia="zh-CN"/>
        </w:rPr>
        <w:t>七</w:t>
      </w:r>
      <w:r>
        <w:rPr>
          <w:rFonts w:hint="default" w:ascii="Times New Roman" w:hAnsi="Times New Roman" w:eastAsia="黑体" w:cs="Times New Roman"/>
          <w:sz w:val="32"/>
          <w:szCs w:val="32"/>
          <w:lang w:val="en"/>
        </w:rPr>
        <w:t xml:space="preserve">条 </w:t>
      </w:r>
      <w:r>
        <w:rPr>
          <w:rFonts w:hint="default" w:ascii="Times New Roman" w:hAnsi="Times New Roman" w:eastAsia="仿宋_GB2312" w:cs="Times New Roman"/>
          <w:sz w:val="32"/>
          <w:szCs w:val="32"/>
        </w:rPr>
        <w:t xml:space="preserve"> 夜间消费集聚区</w:t>
      </w:r>
      <w:r>
        <w:rPr>
          <w:rFonts w:hint="default" w:ascii="Times New Roman" w:hAnsi="Times New Roman" w:eastAsia="仿宋_GB2312" w:cs="Times New Roman"/>
          <w:sz w:val="32"/>
          <w:szCs w:val="32"/>
          <w:lang w:val="en"/>
        </w:rPr>
        <w:t>所在地</w:t>
      </w:r>
      <w:r>
        <w:rPr>
          <w:rFonts w:hint="default" w:ascii="Times New Roman" w:hAnsi="Times New Roman" w:eastAsia="仿宋_GB2312" w:cs="Times New Roman"/>
          <w:sz w:val="32"/>
          <w:szCs w:val="32"/>
        </w:rPr>
        <w:t>设区市商务、文化和旅游、体育</w:t>
      </w:r>
      <w:r>
        <w:rPr>
          <w:rFonts w:hint="default" w:ascii="Times New Roman" w:hAnsi="Times New Roman" w:eastAsia="仿宋_GB2312" w:cs="Times New Roman"/>
          <w:spacing w:val="-6"/>
          <w:sz w:val="32"/>
          <w:szCs w:val="32"/>
        </w:rPr>
        <w:t>行政</w:t>
      </w:r>
      <w:r>
        <w:rPr>
          <w:rFonts w:hint="default" w:ascii="Times New Roman" w:hAnsi="Times New Roman" w:eastAsia="仿宋_GB2312" w:cs="Times New Roman"/>
          <w:sz w:val="32"/>
          <w:szCs w:val="32"/>
        </w:rPr>
        <w:t>主管部门要对照本办法常态化自查，建立预警提醒和约谈机制，对发现的问题及时整改完善，加强监督指导，确保自治区级夜间消费集聚区持续提升，切实发挥引领作用，重大事项和情况要及时报自治区商务厅。自治区商务厅、文化和旅游厅、体育局对自治区级夜间消费集聚区根据工作实际开展复核评估，经复核评估后，夜间消费集聚区具有本办法第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条规定情形之一的，自治区商务厅、文化和旅游厅、体育局可以撤销其称号，收回牌匾</w:t>
      </w:r>
      <w:r>
        <w:rPr>
          <w:rFonts w:hint="default" w:ascii="Times New Roman" w:hAnsi="Times New Roman" w:eastAsia="仿宋_GB2312" w:cs="Times New Roman"/>
          <w:sz w:val="32"/>
          <w:szCs w:val="32"/>
          <w:lang w:val="en"/>
        </w:rPr>
        <w:t>。</w:t>
      </w:r>
    </w:p>
    <w:p w14:paraId="1D42FC4A">
      <w:pPr>
        <w:spacing w:line="600" w:lineRule="exact"/>
        <w:jc w:val="center"/>
        <w:rPr>
          <w:rFonts w:hint="default" w:ascii="Times New Roman" w:hAnsi="Times New Roman" w:eastAsia="仿宋_GB2312" w:cs="Times New Roman"/>
          <w:sz w:val="32"/>
          <w:szCs w:val="32"/>
        </w:rPr>
      </w:pPr>
    </w:p>
    <w:p w14:paraId="60BF54B6">
      <w:pPr>
        <w:spacing w:line="6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其他事项</w:t>
      </w:r>
    </w:p>
    <w:p w14:paraId="5A4DB619">
      <w:pPr>
        <w:spacing w:line="600" w:lineRule="exact"/>
        <w:jc w:val="left"/>
        <w:rPr>
          <w:rFonts w:hint="default" w:ascii="Times New Roman" w:hAnsi="Times New Roman" w:eastAsia="仿宋_GB2312" w:cs="Times New Roman"/>
          <w:sz w:val="32"/>
          <w:szCs w:val="32"/>
        </w:rPr>
      </w:pPr>
    </w:p>
    <w:p w14:paraId="3CD5331A">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各设区市商务、文化和旅游、体育</w:t>
      </w:r>
      <w:r>
        <w:rPr>
          <w:rFonts w:hint="default" w:ascii="Times New Roman" w:hAnsi="Times New Roman" w:eastAsia="仿宋_GB2312" w:cs="Times New Roman"/>
          <w:spacing w:val="-6"/>
          <w:sz w:val="32"/>
          <w:szCs w:val="32"/>
        </w:rPr>
        <w:t>行政</w:t>
      </w:r>
      <w:r>
        <w:rPr>
          <w:rFonts w:hint="default" w:ascii="Times New Roman" w:hAnsi="Times New Roman" w:eastAsia="仿宋_GB2312" w:cs="Times New Roman"/>
          <w:sz w:val="32"/>
          <w:szCs w:val="32"/>
        </w:rPr>
        <w:t>主管部门要遵循发展规律、尊重历史文化、坚持市场导向，稳妥有序推动夜间消费集聚区高质量发展，为夜间消费集聚区设施改造和业态升级提供必要的政策支持，组织开展宣传推广活动。</w:t>
      </w:r>
    </w:p>
    <w:p w14:paraId="5AC5774C">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十九</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本办法实施前已经自治区商务厅、文化和旅游厅、体育局认定的自治区级夜间消费集聚区，按照本办法管理，无需重新申报，按照本办法规定进行复核。</w:t>
      </w:r>
    </w:p>
    <w:p w14:paraId="112A7F87">
      <w:pPr>
        <w:spacing w:line="600" w:lineRule="exact"/>
        <w:ind w:firstLine="640" w:firstLineChars="200"/>
        <w:jc w:val="both"/>
        <w:rPr>
          <w:rFonts w:hint="default" w:ascii="Times New Roman" w:hAnsi="Times New Roman" w:eastAsia="仿宋_GB2312" w:cs="Times New Roman"/>
          <w:sz w:val="32"/>
          <w:szCs w:val="32"/>
        </w:rPr>
      </w:pPr>
    </w:p>
    <w:p w14:paraId="77EE8EF0">
      <w:pPr>
        <w:spacing w:line="600" w:lineRule="exact"/>
        <w:ind w:firstLine="640" w:firstLineChars="200"/>
        <w:jc w:val="both"/>
        <w:rPr>
          <w:rFonts w:hint="default" w:ascii="Times New Roman" w:hAnsi="Times New Roman" w:eastAsia="仿宋_GB2312" w:cs="Times New Roman"/>
          <w:sz w:val="32"/>
          <w:szCs w:val="32"/>
        </w:rPr>
      </w:pPr>
    </w:p>
    <w:p w14:paraId="24E0CADE">
      <w:pPr>
        <w:spacing w:line="600" w:lineRule="exact"/>
        <w:ind w:firstLine="640" w:firstLineChars="20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附则</w:t>
      </w:r>
    </w:p>
    <w:p w14:paraId="1E3DECB9">
      <w:pPr>
        <w:spacing w:line="600" w:lineRule="exact"/>
        <w:ind w:firstLine="640" w:firstLineChars="200"/>
        <w:jc w:val="both"/>
        <w:rPr>
          <w:rFonts w:hint="default" w:ascii="Times New Roman" w:hAnsi="Times New Roman" w:eastAsia="仿宋_GB2312" w:cs="Times New Roman"/>
          <w:sz w:val="32"/>
          <w:szCs w:val="32"/>
        </w:rPr>
      </w:pPr>
    </w:p>
    <w:p w14:paraId="489C5F40">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本办法由自治区商务厅、文化和旅游厅、体育局负责解释。</w:t>
      </w:r>
    </w:p>
    <w:p w14:paraId="2B9DD605">
      <w:pPr>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 xml:space="preserve">条 </w:t>
      </w:r>
      <w:r>
        <w:rPr>
          <w:rFonts w:hint="default" w:ascii="Times New Roman" w:hAnsi="Times New Roman" w:eastAsia="仿宋_GB2312" w:cs="Times New Roman"/>
          <w:sz w:val="32"/>
          <w:szCs w:val="32"/>
        </w:rPr>
        <w:t xml:space="preserve"> 本办法自发布之日起施行，根据发展需要适时修订。</w:t>
      </w:r>
    </w:p>
    <w:p w14:paraId="381EF1D6">
      <w:pPr>
        <w:keepNext w:val="0"/>
        <w:keepLines w:val="0"/>
        <w:pageBreakBefore w:val="0"/>
        <w:kinsoku/>
        <w:wordWrap/>
        <w:overflowPunct/>
        <w:topLinePunct w:val="0"/>
        <w:autoSpaceDE/>
        <w:autoSpaceDN/>
        <w:bidi w:val="0"/>
        <w:adjustRightInd/>
        <w:snapToGrid/>
        <w:spacing w:afterAutospacing="0" w:line="560" w:lineRule="exact"/>
        <w:ind w:firstLine="640" w:firstLineChars="200"/>
        <w:jc w:val="left"/>
        <w:textAlignment w:val="auto"/>
        <w:rPr>
          <w:rFonts w:hint="default" w:ascii="Times New Roman" w:hAnsi="Times New Roman" w:eastAsia="仿宋_GB2312" w:cs="Times New Roman"/>
          <w:sz w:val="32"/>
          <w:szCs w:val="32"/>
        </w:rPr>
        <w:sectPr>
          <w:footerReference r:id="rId3" w:type="default"/>
          <w:pgSz w:w="11906" w:h="16838"/>
          <w:pgMar w:top="1440" w:right="1797" w:bottom="1440" w:left="1797" w:header="851" w:footer="992" w:gutter="0"/>
          <w:pgNumType w:fmt="decimal"/>
          <w:cols w:space="720" w:num="1"/>
          <w:docGrid w:type="lines" w:linePitch="312" w:charSpace="0"/>
        </w:sectPr>
      </w:pPr>
    </w:p>
    <w:p w14:paraId="6F62F95D">
      <w:pPr>
        <w:pStyle w:val="2"/>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024F53DF">
      <w:pPr>
        <w:pStyle w:val="2"/>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自治区级夜间消费聚集区评价指标（2024年修订）</w:t>
      </w:r>
    </w:p>
    <w:tbl>
      <w:tblPr>
        <w:tblStyle w:val="5"/>
        <w:tblW w:w="142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817"/>
        <w:gridCol w:w="3277"/>
        <w:gridCol w:w="5570"/>
        <w:gridCol w:w="1100"/>
        <w:gridCol w:w="1084"/>
        <w:gridCol w:w="1655"/>
      </w:tblGrid>
      <w:tr w14:paraId="52FE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3A55DF2">
            <w:pPr>
              <w:keepNext w:val="0"/>
              <w:keepLines w:val="0"/>
              <w:widowControl/>
              <w:suppressLineNumbers w:val="0"/>
              <w:jc w:val="left"/>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一、评分说明</w:t>
            </w:r>
          </w:p>
        </w:tc>
      </w:tr>
      <w:tr w14:paraId="6C3ED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0" w:hRule="atLeast"/>
        </w:trPr>
        <w:tc>
          <w:tcPr>
            <w:tcW w:w="14201" w:type="dxa"/>
            <w:gridSpan w:val="7"/>
            <w:tcBorders>
              <w:top w:val="single" w:color="000000" w:sz="4" w:space="0"/>
              <w:left w:val="single" w:color="000000" w:sz="4" w:space="0"/>
              <w:bottom w:val="single" w:color="000000" w:sz="4" w:space="0"/>
              <w:right w:val="single" w:color="000000" w:sz="4" w:space="0"/>
            </w:tcBorders>
            <w:noWrap w:val="0"/>
            <w:vAlign w:val="center"/>
          </w:tcPr>
          <w:p w14:paraId="1484C7D5">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本评价指标适用于全区夜间消费聚集区，指四至范围明确，夜间消费人气聚集、消费业态多元、消费项目集中、消费品牌汇聚，有满足购物餐饮、休闲娱乐、文化体验等夜间消费需求的特定消费区域（含特色商业街区、综合体、艺术街区，剧场、博物馆、美术馆、文化娱乐场所集聚区等）。</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2.自治区级夜间消费集聚区评定，要求在满足必要条件的基础上进行评分。本评价指标从基础设施、公共服务、功能品质和综合效益四个方面开展评价，总分1000分（基础分700分，加分项300分）。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3.申报单位对数据信息的真实性客观性负责，如发现有虚假填报，将取消申报资格。</w:t>
            </w:r>
          </w:p>
        </w:tc>
      </w:tr>
      <w:tr w14:paraId="69F1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D773168">
            <w:pPr>
              <w:keepNext w:val="0"/>
              <w:keepLines w:val="0"/>
              <w:widowControl/>
              <w:suppressLineNumbers w:val="0"/>
              <w:jc w:val="left"/>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二、必要条件</w:t>
            </w:r>
          </w:p>
        </w:tc>
      </w:tr>
      <w:tr w14:paraId="06AF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5406D08">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序号</w:t>
            </w:r>
          </w:p>
        </w:tc>
        <w:tc>
          <w:tcPr>
            <w:tcW w:w="4094" w:type="dxa"/>
            <w:gridSpan w:val="2"/>
            <w:tcBorders>
              <w:top w:val="single" w:color="000000" w:sz="4" w:space="0"/>
              <w:left w:val="single" w:color="000000" w:sz="4" w:space="0"/>
              <w:bottom w:val="single" w:color="000000" w:sz="4" w:space="0"/>
              <w:right w:val="single" w:color="000000" w:sz="4" w:space="0"/>
            </w:tcBorders>
            <w:noWrap w:val="0"/>
            <w:vAlign w:val="center"/>
          </w:tcPr>
          <w:p w14:paraId="46E783A6">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内容</w:t>
            </w:r>
          </w:p>
        </w:tc>
        <w:tc>
          <w:tcPr>
            <w:tcW w:w="9409" w:type="dxa"/>
            <w:gridSpan w:val="4"/>
            <w:tcBorders>
              <w:top w:val="single" w:color="000000" w:sz="4" w:space="0"/>
              <w:left w:val="single" w:color="000000" w:sz="4" w:space="0"/>
              <w:bottom w:val="single" w:color="000000" w:sz="4" w:space="0"/>
              <w:right w:val="single" w:color="000000" w:sz="4" w:space="0"/>
            </w:tcBorders>
            <w:noWrap w:val="0"/>
            <w:vAlign w:val="center"/>
          </w:tcPr>
          <w:p w14:paraId="62086A9B">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评价</w:t>
            </w:r>
          </w:p>
        </w:tc>
      </w:tr>
      <w:tr w14:paraId="1A2A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1CE507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4094" w:type="dxa"/>
            <w:gridSpan w:val="2"/>
            <w:tcBorders>
              <w:top w:val="single" w:color="000000" w:sz="4" w:space="0"/>
              <w:left w:val="single" w:color="000000" w:sz="4" w:space="0"/>
              <w:bottom w:val="single" w:color="000000" w:sz="4" w:space="0"/>
              <w:right w:val="single" w:color="000000" w:sz="4" w:space="0"/>
            </w:tcBorders>
            <w:noWrap w:val="0"/>
            <w:vAlign w:val="center"/>
          </w:tcPr>
          <w:p w14:paraId="2529955C">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集聚区成立专门的运营管理机构。</w:t>
            </w:r>
          </w:p>
        </w:tc>
        <w:tc>
          <w:tcPr>
            <w:tcW w:w="9409" w:type="dxa"/>
            <w:gridSpan w:val="4"/>
            <w:tcBorders>
              <w:top w:val="single" w:color="000000" w:sz="4" w:space="0"/>
              <w:left w:val="single" w:color="000000" w:sz="4" w:space="0"/>
              <w:bottom w:val="single" w:color="000000" w:sz="4" w:space="0"/>
              <w:right w:val="single" w:color="000000" w:sz="4" w:space="0"/>
            </w:tcBorders>
            <w:noWrap w:val="0"/>
            <w:vAlign w:val="center"/>
          </w:tcPr>
          <w:p w14:paraId="09E1A96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是/否。需提供：集聚区产权所有者及运营管理机构营业执照复印件，产权所有者委托运营管理机构进行运营管理的合同等证明材料，并加盖单位公章。</w:t>
            </w:r>
          </w:p>
        </w:tc>
      </w:tr>
      <w:tr w14:paraId="430A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023297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4094" w:type="dxa"/>
            <w:gridSpan w:val="2"/>
            <w:tcBorders>
              <w:top w:val="single" w:color="000000" w:sz="4" w:space="0"/>
              <w:left w:val="single" w:color="000000" w:sz="4" w:space="0"/>
              <w:bottom w:val="single" w:color="000000" w:sz="4" w:space="0"/>
              <w:right w:val="single" w:color="000000" w:sz="4" w:space="0"/>
            </w:tcBorders>
            <w:noWrap w:val="0"/>
            <w:vAlign w:val="center"/>
          </w:tcPr>
          <w:p w14:paraId="7CC3997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近3年（营业不足3年的自营业之日起）内无重大安全生产事故、重大侵犯知识产权或重大侵犯消费者权益事件，无相关严重违法、违规、违纪行为。</w:t>
            </w:r>
          </w:p>
        </w:tc>
        <w:tc>
          <w:tcPr>
            <w:tcW w:w="9409" w:type="dxa"/>
            <w:gridSpan w:val="4"/>
            <w:tcBorders>
              <w:top w:val="single" w:color="000000" w:sz="4" w:space="0"/>
              <w:left w:val="single" w:color="000000" w:sz="4" w:space="0"/>
              <w:bottom w:val="single" w:color="000000" w:sz="4" w:space="0"/>
              <w:right w:val="single" w:color="000000" w:sz="4" w:space="0"/>
            </w:tcBorders>
            <w:noWrap w:val="0"/>
            <w:vAlign w:val="center"/>
          </w:tcPr>
          <w:p w14:paraId="328A0C4C">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是/否。需提供：集聚区应对各类突发事件的应急预案，近3年内未发生重大安全责任事故、重大侵犯知识产权或重大侵犯消费者权益事件，无相关严重违法、违规、违纪行为。</w:t>
            </w:r>
          </w:p>
        </w:tc>
      </w:tr>
      <w:tr w14:paraId="78CD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B7E6C0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4094" w:type="dxa"/>
            <w:gridSpan w:val="2"/>
            <w:tcBorders>
              <w:top w:val="single" w:color="000000" w:sz="4" w:space="0"/>
              <w:left w:val="single" w:color="000000" w:sz="4" w:space="0"/>
              <w:bottom w:val="single" w:color="000000" w:sz="4" w:space="0"/>
              <w:right w:val="single" w:color="000000" w:sz="4" w:space="0"/>
            </w:tcBorders>
            <w:noWrap w:val="0"/>
            <w:vAlign w:val="center"/>
          </w:tcPr>
          <w:p w14:paraId="54B52521">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拥护党的路线、方针、政策，认真落实意识形态工作责任制；集聚区内应培育和践行社会主义核心价值观，不传播封建迷信，不出现庸俗、低俗、媚俗现象。</w:t>
            </w:r>
          </w:p>
        </w:tc>
        <w:tc>
          <w:tcPr>
            <w:tcW w:w="9409" w:type="dxa"/>
            <w:gridSpan w:val="4"/>
            <w:tcBorders>
              <w:top w:val="single" w:color="000000" w:sz="4" w:space="0"/>
              <w:left w:val="single" w:color="000000" w:sz="4" w:space="0"/>
              <w:bottom w:val="single" w:color="000000" w:sz="4" w:space="0"/>
              <w:right w:val="single" w:color="000000" w:sz="4" w:space="0"/>
            </w:tcBorders>
            <w:noWrap w:val="0"/>
            <w:vAlign w:val="center"/>
          </w:tcPr>
          <w:p w14:paraId="27D1FB87">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是/否。需提供：开展相关活动的方案和图片等材料。</w:t>
            </w:r>
          </w:p>
        </w:tc>
      </w:tr>
      <w:tr w14:paraId="3708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01" w:type="dxa"/>
            <w:gridSpan w:val="7"/>
            <w:tcBorders>
              <w:top w:val="single" w:color="000000" w:sz="4" w:space="0"/>
              <w:left w:val="single" w:color="000000" w:sz="4" w:space="0"/>
              <w:bottom w:val="single" w:color="000000" w:sz="4" w:space="0"/>
              <w:right w:val="single" w:color="000000" w:sz="4" w:space="0"/>
            </w:tcBorders>
            <w:noWrap/>
            <w:vAlign w:val="center"/>
          </w:tcPr>
          <w:p w14:paraId="2DBF1E1B">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备注：以上所有必要条件都为必须具备要求，实行一票否决制。</w:t>
            </w:r>
          </w:p>
        </w:tc>
      </w:tr>
      <w:tr w14:paraId="785B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D4C6742">
            <w:pPr>
              <w:keepNext w:val="0"/>
              <w:keepLines w:val="0"/>
              <w:widowControl/>
              <w:suppressLineNumbers w:val="0"/>
              <w:jc w:val="left"/>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三、评分标准</w:t>
            </w:r>
          </w:p>
        </w:tc>
      </w:tr>
      <w:tr w14:paraId="1EEA8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21C7">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序号</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E482E">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评分指标</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D292E">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评分标准</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81425">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评分说明</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B103D">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基础分最高分</w:t>
            </w:r>
          </w:p>
        </w:tc>
        <w:tc>
          <w:tcPr>
            <w:tcW w:w="108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0BD34">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加分项（注明“**”为加分项）</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6F2FE">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自评情况说明（需说明自评为此分数的依据）</w:t>
            </w:r>
          </w:p>
        </w:tc>
      </w:tr>
      <w:tr w14:paraId="1E55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539D6F0">
            <w:pPr>
              <w:keepNext w:val="0"/>
              <w:keepLines w:val="0"/>
              <w:widowControl/>
              <w:suppressLineNumbers w:val="0"/>
              <w:jc w:val="left"/>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（一）基础设施（</w:t>
            </w:r>
            <w:r>
              <w:rPr>
                <w:rStyle w:val="9"/>
                <w:rFonts w:hint="default" w:ascii="Times New Roman" w:hAnsi="Times New Roman" w:eastAsia="仿宋_GB2312" w:cs="Times New Roman"/>
                <w:lang w:val="en-US" w:eastAsia="zh-CN" w:bidi="ar"/>
              </w:rPr>
              <w:t>158</w:t>
            </w:r>
            <w:r>
              <w:rPr>
                <w:rStyle w:val="10"/>
                <w:rFonts w:hint="default" w:ascii="Times New Roman" w:hAnsi="Times New Roman" w:cs="Times New Roman"/>
                <w:lang w:val="en-US" w:eastAsia="zh-CN" w:bidi="ar"/>
              </w:rPr>
              <w:t>分）</w:t>
            </w:r>
          </w:p>
        </w:tc>
      </w:tr>
      <w:tr w14:paraId="7594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6FF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FAF83">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规划科学（49分）</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1AD5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编制夜间消费集聚区发展规划（或改造提升规划），深入研究集聚区景观提升、业态优化、交通组织等专项内容。</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33961">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有夜间消费集聚区发展规划方案（或改造提升规划），得10分。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3EBEE6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AAFF860">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3B65970">
            <w:pPr>
              <w:jc w:val="center"/>
              <w:rPr>
                <w:rFonts w:hint="default" w:ascii="Times New Roman" w:hAnsi="Times New Roman" w:eastAsia="仿宋_GB2312" w:cs="Times New Roman"/>
                <w:i w:val="0"/>
                <w:color w:val="000000"/>
                <w:sz w:val="24"/>
                <w:szCs w:val="24"/>
                <w:u w:val="none"/>
              </w:rPr>
            </w:pPr>
          </w:p>
        </w:tc>
      </w:tr>
      <w:tr w14:paraId="781D6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33B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F5D14">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3CFCF">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264BB">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有集聚区景观提升、业态优化、交通组织等专项方案，有一项得3分，最多得9分。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C4B57ED">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A026F3F">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C7CAB63">
            <w:pPr>
              <w:jc w:val="center"/>
              <w:rPr>
                <w:rFonts w:hint="default" w:ascii="Times New Roman" w:hAnsi="Times New Roman" w:eastAsia="仿宋_GB2312" w:cs="Times New Roman"/>
                <w:i w:val="0"/>
                <w:color w:val="000000"/>
                <w:sz w:val="24"/>
                <w:szCs w:val="24"/>
                <w:u w:val="none"/>
              </w:rPr>
            </w:pPr>
          </w:p>
        </w:tc>
      </w:tr>
      <w:tr w14:paraId="434A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BDF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255F4">
            <w:pPr>
              <w:jc w:val="center"/>
              <w:rPr>
                <w:rFonts w:hint="default" w:ascii="Times New Roman" w:hAnsi="Times New Roman" w:eastAsia="仿宋_GB2312" w:cs="Times New Roman"/>
                <w:b/>
                <w:i w:val="0"/>
                <w:color w:val="000000"/>
                <w:sz w:val="24"/>
                <w:szCs w:val="24"/>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963353">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商文旅资源有机联动，具有一定的区位优势。</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DF6DB">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城市休闲功能区、商业中心区、历史文化集聚区、旅游景区、重点文化场所等地域空间，串联剧场影院、文博场馆、园林庭院、名人故居等文旅场所，实现文旅商资源有机联动、集约利用，经专家综合评估，最多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40EB16">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E3CC923">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486A809">
            <w:pPr>
              <w:jc w:val="center"/>
              <w:rPr>
                <w:rFonts w:hint="default" w:ascii="Times New Roman" w:hAnsi="Times New Roman" w:eastAsia="仿宋_GB2312" w:cs="Times New Roman"/>
                <w:i w:val="0"/>
                <w:color w:val="000000"/>
                <w:sz w:val="24"/>
                <w:szCs w:val="24"/>
                <w:u w:val="none"/>
              </w:rPr>
            </w:pPr>
          </w:p>
        </w:tc>
      </w:tr>
      <w:tr w14:paraId="32DE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95A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3FC64">
            <w:pPr>
              <w:jc w:val="center"/>
              <w:rPr>
                <w:rFonts w:hint="default" w:ascii="Times New Roman" w:hAnsi="Times New Roman" w:eastAsia="仿宋_GB2312" w:cs="Times New Roman"/>
                <w:b/>
                <w:i w:val="0"/>
                <w:color w:val="000000"/>
                <w:sz w:val="24"/>
                <w:szCs w:val="24"/>
                <w:u w:val="none"/>
              </w:rPr>
            </w:pPr>
          </w:p>
        </w:tc>
        <w:tc>
          <w:tcPr>
            <w:tcW w:w="32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1D91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底蕴深厚。</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309622">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正常经营10年（含）以上，得10分；5（含）-10年，得5分；5年以下，得2分。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**正常经营15年（含）以上，加10分。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BDD059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547969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A1B5272">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566B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B96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3A134">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空间开阔（39分）</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248E2">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“四至”范围明确，功能分区合理、互补。</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ED1E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总体规划编制成果中有集聚区总平面图（3分），总平面图清楚标注“四至”范围（3分）、功能分区（3分），最多得9分。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B4C924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DF6E099">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D292C0A">
            <w:pPr>
              <w:jc w:val="center"/>
              <w:rPr>
                <w:rFonts w:hint="default" w:ascii="Times New Roman" w:hAnsi="Times New Roman" w:eastAsia="仿宋_GB2312" w:cs="Times New Roman"/>
                <w:i w:val="0"/>
                <w:color w:val="000000"/>
                <w:sz w:val="24"/>
                <w:szCs w:val="24"/>
                <w:u w:val="none"/>
              </w:rPr>
            </w:pPr>
          </w:p>
        </w:tc>
      </w:tr>
      <w:tr w14:paraId="0263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4F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1568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F475E">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9D267">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用于商业经营的商业建筑面积3万平方米（含）以上，得20分；1万平方米（含）-3万平方米，得</w:t>
            </w:r>
            <w:r>
              <w:rPr>
                <w:rFonts w:hint="default" w:ascii="Times New Roman" w:hAnsi="Times New Roman" w:eastAsia="仿宋_GB2312" w:cs="Times New Roman"/>
                <w:i w:val="0"/>
                <w:color w:val="000000"/>
                <w:kern w:val="0"/>
                <w:sz w:val="24"/>
                <w:szCs w:val="24"/>
                <w:u w:val="none"/>
                <w:lang w:val="en" w:eastAsia="zh-CN" w:bidi="ar"/>
              </w:rPr>
              <w:t>1</w:t>
            </w:r>
            <w:r>
              <w:rPr>
                <w:rFonts w:hint="default" w:ascii="Times New Roman" w:hAnsi="Times New Roman" w:eastAsia="仿宋_GB2312" w:cs="Times New Roman"/>
                <w:i w:val="0"/>
                <w:color w:val="000000"/>
                <w:kern w:val="0"/>
                <w:sz w:val="24"/>
                <w:szCs w:val="24"/>
                <w:u w:val="none"/>
                <w:lang w:val="en-US" w:eastAsia="zh-CN" w:bidi="ar"/>
              </w:rPr>
              <w:t>0分；1万平方米以下，得5分。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**用于商业经营的商业建筑面积5万平方米（含）以上，加10分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D44018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DE658E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5B626C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413A3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CA0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718584">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交通便利（40分）</w:t>
            </w:r>
          </w:p>
        </w:tc>
        <w:tc>
          <w:tcPr>
            <w:tcW w:w="327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B77C5">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公共交通便利。</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467D8">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集聚区出入口500米范围内有地铁站或公交站点，得5分；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**抵达集聚区的地铁公交路线有1-3条，加5分；3条以上，加10分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C8CFD8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DCB6B6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30A153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59A5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BB8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E16E6">
            <w:pPr>
              <w:jc w:val="center"/>
              <w:rPr>
                <w:rFonts w:hint="default" w:ascii="Times New Roman" w:hAnsi="Times New Roman" w:eastAsia="仿宋_GB2312" w:cs="Times New Roman"/>
                <w:b/>
                <w:i w:val="0"/>
                <w:color w:val="000000"/>
                <w:sz w:val="24"/>
                <w:szCs w:val="24"/>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5A2FE">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机动车和非机动车停车服务完善。</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A13E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集聚区出入口100米范围内有机动车和非机动车停放点，得5分；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D369D4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88E3E0D">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5F0F460">
            <w:pPr>
              <w:jc w:val="center"/>
              <w:rPr>
                <w:rFonts w:hint="default" w:ascii="Times New Roman" w:hAnsi="Times New Roman" w:eastAsia="仿宋_GB2312" w:cs="Times New Roman"/>
                <w:i w:val="0"/>
                <w:color w:val="000000"/>
                <w:sz w:val="24"/>
                <w:szCs w:val="24"/>
                <w:u w:val="none"/>
              </w:rPr>
            </w:pPr>
          </w:p>
        </w:tc>
      </w:tr>
      <w:tr w14:paraId="7CAE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A7C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D04690">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65134">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8E551">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每100平方米商业建筑面积配套停车位1.5个（含）以上，得15分；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每100平方米商业建筑面积配套停车位1个（含）-1.5个，得10分；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每100平方米面积配套停车位不足1个的，应当与周边500米范围内的社会停车场签订共享协议，满足夜间消费集聚区停车需求，得5分。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**有新能源汽车充电桩，加5分。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152E58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57DD31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8E4990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8B6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89ED798">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3C095C">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环境优美（30分）</w:t>
            </w: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CBB63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集聚区美观、协调，夜景亮化绚丽。</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64FD420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集聚区建筑体现地域和人文特色，与集聚区定位和经营风格协调一致，得5分。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37A9B2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D314308">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3ED3640">
            <w:pPr>
              <w:jc w:val="center"/>
              <w:rPr>
                <w:rFonts w:hint="default" w:ascii="Times New Roman" w:hAnsi="Times New Roman" w:eastAsia="仿宋_GB2312" w:cs="Times New Roman"/>
                <w:i w:val="0"/>
                <w:color w:val="000000"/>
                <w:sz w:val="24"/>
                <w:szCs w:val="24"/>
                <w:u w:val="none"/>
              </w:rPr>
            </w:pPr>
          </w:p>
        </w:tc>
      </w:tr>
      <w:tr w14:paraId="13D2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8DCA78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926FA2">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7DE7D">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1A638B9E">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广告招牌设置有统一规定，美观协调，无明显破损和脱落情况，得5分。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D69E8A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92F19E8">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1D72202">
            <w:pPr>
              <w:jc w:val="center"/>
              <w:rPr>
                <w:rFonts w:hint="default" w:ascii="Times New Roman" w:hAnsi="Times New Roman" w:eastAsia="仿宋_GB2312" w:cs="Times New Roman"/>
                <w:i w:val="0"/>
                <w:color w:val="000000"/>
                <w:sz w:val="24"/>
                <w:szCs w:val="24"/>
                <w:u w:val="none"/>
              </w:rPr>
            </w:pPr>
          </w:p>
        </w:tc>
      </w:tr>
      <w:tr w14:paraId="02628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3DCFA1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32B20">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3ECB5">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18D709EE">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集聚区有完善的照明系统，达到一定夜景亮化美化效果，得10分。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99B082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9A50DCF">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556FC7C">
            <w:pPr>
              <w:jc w:val="center"/>
              <w:rPr>
                <w:rFonts w:hint="default" w:ascii="Times New Roman" w:hAnsi="Times New Roman" w:eastAsia="仿宋_GB2312" w:cs="Times New Roman"/>
                <w:i w:val="0"/>
                <w:color w:val="000000"/>
                <w:sz w:val="24"/>
                <w:szCs w:val="24"/>
                <w:u w:val="none"/>
              </w:rPr>
            </w:pPr>
          </w:p>
        </w:tc>
      </w:tr>
      <w:tr w14:paraId="5DE3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226DCA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EA61D">
            <w:pPr>
              <w:jc w:val="center"/>
              <w:rPr>
                <w:rFonts w:hint="default" w:ascii="Times New Roman" w:hAnsi="Times New Roman" w:eastAsia="仿宋_GB2312" w:cs="Times New Roman"/>
                <w:b/>
                <w:i w:val="0"/>
                <w:color w:val="000000"/>
                <w:sz w:val="24"/>
                <w:szCs w:val="24"/>
                <w:u w:val="none"/>
              </w:rPr>
            </w:pP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8C47108">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地面干净、平整、防滑。</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6A8F6CC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地面平整防滑，无明显破损情况，得5分。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F8FF91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B47D5BA">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5298B1A">
            <w:pPr>
              <w:jc w:val="center"/>
              <w:rPr>
                <w:rFonts w:hint="default" w:ascii="Times New Roman" w:hAnsi="Times New Roman" w:eastAsia="仿宋_GB2312" w:cs="Times New Roman"/>
                <w:i w:val="0"/>
                <w:color w:val="000000"/>
                <w:sz w:val="24"/>
                <w:szCs w:val="24"/>
                <w:u w:val="none"/>
              </w:rPr>
            </w:pPr>
          </w:p>
        </w:tc>
      </w:tr>
      <w:tr w14:paraId="4A02C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EFB9E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1D10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84D60">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022638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干净卫生，无垃圾杂物、无堆占、无积水，得5分。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0F656E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5A6A025">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5A36230">
            <w:pPr>
              <w:jc w:val="center"/>
              <w:rPr>
                <w:rFonts w:hint="default" w:ascii="Times New Roman" w:hAnsi="Times New Roman" w:eastAsia="仿宋_GB2312" w:cs="Times New Roman"/>
                <w:i w:val="0"/>
                <w:color w:val="000000"/>
                <w:sz w:val="24"/>
                <w:szCs w:val="24"/>
                <w:u w:val="none"/>
              </w:rPr>
            </w:pPr>
          </w:p>
        </w:tc>
      </w:tr>
      <w:tr w14:paraId="181E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1255730">
            <w:pPr>
              <w:keepNext w:val="0"/>
              <w:keepLines w:val="0"/>
              <w:widowControl/>
              <w:suppressLineNumbers w:val="0"/>
              <w:jc w:val="left"/>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（二）公共服务（246分）</w:t>
            </w:r>
          </w:p>
        </w:tc>
      </w:tr>
      <w:tr w14:paraId="04E5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3DD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D24C9">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机制健全（60分）</w:t>
            </w: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6BD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所在地政府支持。</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0B55F">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**所在地政府支持，出台相关规划文件或召开专题研究会议部署推动，加10分。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2AFD1BC">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1E8A68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5A7493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C1D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8D9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60F88">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4050C">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62AB8">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**所在地政府有资金支持集聚区编制规划、改造提升、开展促消费活动等，加10分。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399804D">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A61A18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415B9E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1C87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E9F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C2BE6">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0123C">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73C2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**有针对夜间消费集聚区在财政金融、规划用地、免税退税、文化旅游、市场监管等方面的地方政策，每一项政策加2分，最多加10分。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7F08AA">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77A18C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4A8176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D2B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CB4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19E0AA">
            <w:pPr>
              <w:jc w:val="center"/>
              <w:rPr>
                <w:rFonts w:hint="default" w:ascii="Times New Roman" w:hAnsi="Times New Roman" w:eastAsia="仿宋_GB2312" w:cs="Times New Roman"/>
                <w:b/>
                <w:i w:val="0"/>
                <w:color w:val="000000"/>
                <w:sz w:val="24"/>
                <w:szCs w:val="24"/>
                <w:u w:val="none"/>
              </w:rPr>
            </w:pPr>
          </w:p>
        </w:tc>
        <w:tc>
          <w:tcPr>
            <w:tcW w:w="327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3B38A">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管理规范。</w:t>
            </w: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EB22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有商户自律组织及消费者投诉处理中心，消费者投诉渠道畅通，有专门的无障碍投诉应对措施，反馈高效，处理率达到100%，得10分。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AD953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52AD942">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763603C">
            <w:pPr>
              <w:jc w:val="center"/>
              <w:rPr>
                <w:rFonts w:hint="default" w:ascii="Times New Roman" w:hAnsi="Times New Roman" w:eastAsia="仿宋_GB2312" w:cs="Times New Roman"/>
                <w:i w:val="0"/>
                <w:color w:val="000000"/>
                <w:sz w:val="24"/>
                <w:szCs w:val="24"/>
                <w:u w:val="none"/>
              </w:rPr>
            </w:pPr>
          </w:p>
        </w:tc>
      </w:tr>
      <w:tr w14:paraId="18E5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84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0992F">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8EE14">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BDA02">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**集聚区有针对集聚区户外活动营销、装饰装潢、广告宣传等专门政策，每一项具体政策加2分，最高加10分。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ECC088E">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F0BBEB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8AF4E2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4AA0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448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0046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579B8">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DEFED">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有完善的管理制度，包括突发事件应急处置机制及食品安全、环境卫生、知识产权、消费者权益、市场公平竞争等，提供管理制度文档及其执行情况，最多得10分。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151DF5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182B974">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4838FA2">
            <w:pPr>
              <w:jc w:val="center"/>
              <w:rPr>
                <w:rFonts w:hint="default" w:ascii="Times New Roman" w:hAnsi="Times New Roman" w:eastAsia="仿宋_GB2312" w:cs="Times New Roman"/>
                <w:i w:val="0"/>
                <w:color w:val="000000"/>
                <w:sz w:val="24"/>
                <w:szCs w:val="24"/>
                <w:u w:val="none"/>
              </w:rPr>
            </w:pPr>
          </w:p>
        </w:tc>
      </w:tr>
      <w:tr w14:paraId="757B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12068F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ED46F">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设施完善（89分）</w:t>
            </w: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EC84B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有清晰的标识导示系统。</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63575D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有区域地图、信息说明、方向指示等功能完整、设置清晰的标识导示系统，得10分。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**有两种语言以上的标识导示系统，加5分。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E421ED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0B61D5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B56461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040B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BFDA04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0D693">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6BCE6">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5025E9ED">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合理划分吸烟区和非吸烟区，有明确的指标标志，措施得当，管理到位，得10分。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4C5260D">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B9CB7F4">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7D05148">
            <w:pPr>
              <w:jc w:val="center"/>
              <w:rPr>
                <w:rFonts w:hint="default" w:ascii="Times New Roman" w:hAnsi="Times New Roman" w:eastAsia="仿宋_GB2312" w:cs="Times New Roman"/>
                <w:i w:val="0"/>
                <w:color w:val="000000"/>
                <w:sz w:val="24"/>
                <w:szCs w:val="24"/>
                <w:u w:val="none"/>
              </w:rPr>
            </w:pPr>
          </w:p>
        </w:tc>
      </w:tr>
      <w:tr w14:paraId="0DCB5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4F6119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05CD1">
            <w:pPr>
              <w:jc w:val="center"/>
              <w:rPr>
                <w:rFonts w:hint="default" w:ascii="Times New Roman" w:hAnsi="Times New Roman" w:eastAsia="仿宋_GB2312" w:cs="Times New Roman"/>
                <w:b/>
                <w:i w:val="0"/>
                <w:color w:val="000000"/>
                <w:sz w:val="24"/>
                <w:szCs w:val="24"/>
                <w:u w:val="none"/>
              </w:rPr>
            </w:pP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696AA3">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体现以人为本的配套服务设施。</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3AB94091">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垃圾箱布局合理、数量充足，垃圾清理及时，经专家综合评估，最高得10分。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5DDCE5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2CCF5F3">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AE2B46A">
            <w:pPr>
              <w:jc w:val="center"/>
              <w:rPr>
                <w:rFonts w:hint="default" w:ascii="Times New Roman" w:hAnsi="Times New Roman" w:eastAsia="仿宋_GB2312" w:cs="Times New Roman"/>
                <w:i w:val="0"/>
                <w:color w:val="000000"/>
                <w:sz w:val="24"/>
                <w:szCs w:val="24"/>
                <w:u w:val="none"/>
              </w:rPr>
            </w:pPr>
          </w:p>
        </w:tc>
      </w:tr>
      <w:tr w14:paraId="7F60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44C0A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E4944">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0704B">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4DD8B9E">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公共厕所设置合理、数量充足，干净整洁、管理规范，经专家综合评估，最高得10分。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F075A4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430334E">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7BB2C7B">
            <w:pPr>
              <w:jc w:val="center"/>
              <w:rPr>
                <w:rFonts w:hint="default" w:ascii="Times New Roman" w:hAnsi="Times New Roman" w:eastAsia="仿宋_GB2312" w:cs="Times New Roman"/>
                <w:i w:val="0"/>
                <w:color w:val="000000"/>
                <w:sz w:val="24"/>
                <w:szCs w:val="24"/>
                <w:u w:val="none"/>
              </w:rPr>
            </w:pPr>
          </w:p>
        </w:tc>
      </w:tr>
      <w:tr w14:paraId="3F7B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2F3BA3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EEFF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109FC">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3EF052A7">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有位置合理、数量充足、满足行人短时停留的公共休憩空间和设施，得10分。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E5CCED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7634786">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95B9809">
            <w:pPr>
              <w:jc w:val="center"/>
              <w:rPr>
                <w:rFonts w:hint="default" w:ascii="Times New Roman" w:hAnsi="Times New Roman" w:eastAsia="仿宋_GB2312" w:cs="Times New Roman"/>
                <w:i w:val="0"/>
                <w:color w:val="000000"/>
                <w:sz w:val="24"/>
                <w:szCs w:val="24"/>
                <w:u w:val="none"/>
              </w:rPr>
            </w:pPr>
          </w:p>
        </w:tc>
      </w:tr>
      <w:tr w14:paraId="7069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F3F009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34BC4">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02BEF">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0A04E14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有综合治安管理处或报警点、防暴设施和应急避难场所，有一项得3分，最多得9分。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B8F9E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0EC5CF1">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2D0C785">
            <w:pPr>
              <w:jc w:val="center"/>
              <w:rPr>
                <w:rFonts w:hint="default" w:ascii="Times New Roman" w:hAnsi="Times New Roman" w:eastAsia="仿宋_GB2312" w:cs="Times New Roman"/>
                <w:i w:val="0"/>
                <w:color w:val="000000"/>
                <w:sz w:val="24"/>
                <w:szCs w:val="24"/>
                <w:u w:val="none"/>
              </w:rPr>
            </w:pPr>
          </w:p>
        </w:tc>
      </w:tr>
      <w:tr w14:paraId="6F76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2F2652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608ED">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0F9CB">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6A12BAE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设置有无障碍公共服务设施，评分点如下：</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**1.无障碍路线台阶起止处有设置补充照明和提示盲道，加3分。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**2.门店全部无障碍出入，如受条件所限，高差台阶处无法设置坡道时，应设置求助服务电话或明确的无障碍路线导示标识，加5分。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**3.公共卫生间内应独立设置一定数量可满足家庭异性的无障碍卫生间、无障碍厕位，无障碍小便池和无障碍洗手台，每有1处加1分，最多加5分。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**4.集聚区内应设置一定数量的母婴室，并设置引导标语，每有1处加2分，最多加8分。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**5.有老年人轮椅、婴儿车租赁服务设施，每有1类加2分，最多加4分。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4E351EF">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027519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479FACF">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DD0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F464DF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BB44DD">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智慧服务（97分）</w:t>
            </w: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4DA415">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提供多样化智慧服务。</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62B8F9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智能安全监控设施实现集聚区全覆盖，准确掌握实时客流情况，得15分。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CA4AB0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CD59ACF">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FE64377">
            <w:pPr>
              <w:jc w:val="center"/>
              <w:rPr>
                <w:rFonts w:hint="default" w:ascii="Times New Roman" w:hAnsi="Times New Roman" w:eastAsia="仿宋_GB2312" w:cs="Times New Roman"/>
                <w:i w:val="0"/>
                <w:color w:val="000000"/>
                <w:sz w:val="24"/>
                <w:szCs w:val="24"/>
                <w:u w:val="none"/>
              </w:rPr>
            </w:pPr>
          </w:p>
        </w:tc>
      </w:tr>
      <w:tr w14:paraId="2387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BB09F3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A315A">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493A1">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1614957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有统一的信息发布、导购促销、重大活动等信息服务平台，包括APP、公众号、小程序等移动应用，内容更新及时、与消费者互动，每一项功能得3分，最多得15分。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42B6CA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426F151">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F51C435">
            <w:pPr>
              <w:jc w:val="center"/>
              <w:rPr>
                <w:rFonts w:hint="default" w:ascii="Times New Roman" w:hAnsi="Times New Roman" w:eastAsia="仿宋_GB2312" w:cs="Times New Roman"/>
                <w:i w:val="0"/>
                <w:color w:val="000000"/>
                <w:sz w:val="24"/>
                <w:szCs w:val="24"/>
                <w:u w:val="none"/>
              </w:rPr>
            </w:pPr>
          </w:p>
        </w:tc>
      </w:tr>
      <w:tr w14:paraId="4EBFE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49058B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D6B34">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83672">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5FD73CF0">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有统一的销售、客流等统计分析系统，覆盖集聚区80%以上商户，得20分。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5723AB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0D1148D">
            <w:pPr>
              <w:rPr>
                <w:rFonts w:hint="default" w:ascii="Times New Roman" w:hAnsi="Times New Roman" w:eastAsia="宋体"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943BAEC">
            <w:pPr>
              <w:rPr>
                <w:rFonts w:hint="default" w:ascii="Times New Roman" w:hAnsi="Times New Roman" w:eastAsia="宋体" w:cs="Times New Roman"/>
                <w:i w:val="0"/>
                <w:color w:val="000000"/>
                <w:sz w:val="24"/>
                <w:szCs w:val="24"/>
                <w:u w:val="none"/>
              </w:rPr>
            </w:pPr>
          </w:p>
        </w:tc>
      </w:tr>
      <w:tr w14:paraId="4B75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8D51A9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5F9B4">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FD03D6">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5EFAE367">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**通过自建平台或依托大型互联网平台，实现线上线下融合发展的商户占80%以上，加15分；60%-80%，加10分；低于60%不加分。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2F26A2">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33CFF0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22FD32E">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5B87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A23ED7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3C81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CD51B">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E468BF8">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通过统一服务平台每提供一项智能服务且覆盖50%以上商户，得3分，最多得12分。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53BB95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FAF0803">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38C37839">
            <w:pPr>
              <w:jc w:val="center"/>
              <w:rPr>
                <w:rFonts w:hint="default" w:ascii="Times New Roman" w:hAnsi="Times New Roman" w:eastAsia="仿宋_GB2312" w:cs="Times New Roman"/>
                <w:i w:val="0"/>
                <w:color w:val="000000"/>
                <w:sz w:val="24"/>
                <w:szCs w:val="24"/>
                <w:u w:val="none"/>
              </w:rPr>
            </w:pPr>
          </w:p>
        </w:tc>
      </w:tr>
      <w:tr w14:paraId="2414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86AC42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545D1">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5D2DC">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ADEC062">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实现无线网络全覆盖，为消费者提供智能停车、移动支付等智慧服务，得5分；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**提供外币支付服务，便利外籍人士消费，加5分；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37D0B2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2A83DB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6DBA7B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0C1F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E18305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34</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CA731">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C7017">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5FAD857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**有“智慧商圈”发展规划或计划的，并纳入自治区智慧商圈大数据统一平台的，加10分。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6A88E47">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05B058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12AD57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1D1C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A63421">
            <w:pPr>
              <w:keepNext w:val="0"/>
              <w:keepLines w:val="0"/>
              <w:widowControl/>
              <w:suppressLineNumbers w:val="0"/>
              <w:jc w:val="left"/>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（三）功能品质（336分）</w:t>
            </w:r>
          </w:p>
        </w:tc>
      </w:tr>
      <w:tr w14:paraId="3090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E0DE836">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35</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CDDA922">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业态集聚（256分）</w:t>
            </w: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B49E0">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夜间消费业态多样。</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1203753A">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夜间营业额占比不低于60%，得10分；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注：夜间营业时间一般指从当日下午6点到次日早晨6点。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B9053E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F82AD81">
            <w:pPr>
              <w:rPr>
                <w:rFonts w:hint="default" w:ascii="Times New Roman" w:hAnsi="Times New Roman" w:eastAsia="宋体"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51A20A5F">
            <w:pPr>
              <w:rPr>
                <w:rFonts w:hint="default" w:ascii="Times New Roman" w:hAnsi="Times New Roman" w:eastAsia="宋体" w:cs="Times New Roman"/>
                <w:i w:val="0"/>
                <w:color w:val="000000"/>
                <w:sz w:val="24"/>
                <w:szCs w:val="24"/>
                <w:u w:val="none"/>
              </w:rPr>
            </w:pPr>
          </w:p>
        </w:tc>
      </w:tr>
      <w:tr w14:paraId="6836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1757E4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36</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E397D">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141EE">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8438380">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集聚区内80%（含）以上的经营单位歇业时间不早于22点，得10分。</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E8C21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E466D97">
            <w:pPr>
              <w:rPr>
                <w:rFonts w:hint="default" w:ascii="Times New Roman" w:hAnsi="Times New Roman" w:eastAsia="宋体"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4813B63">
            <w:pPr>
              <w:rPr>
                <w:rFonts w:hint="default" w:ascii="Times New Roman" w:hAnsi="Times New Roman" w:eastAsia="宋体" w:cs="Times New Roman"/>
                <w:i w:val="0"/>
                <w:color w:val="000000"/>
                <w:sz w:val="24"/>
                <w:szCs w:val="24"/>
                <w:u w:val="none"/>
              </w:rPr>
            </w:pPr>
          </w:p>
        </w:tc>
      </w:tr>
      <w:tr w14:paraId="4FC5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21ADD5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37</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F2806">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8FCA0">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0F82A139">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**集聚区内拥有一定数量的经营单位24小时营业，加10分；</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C9FB276">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28D7248">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41B855D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CEB4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0B139A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38</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EA944">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D3197">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19A81487">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**集聚区内拥有一定数量的经营单位歇业时间不早于凌晨2点，加5分。</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CA4171">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769CD71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1655" w:type="dxa"/>
            <w:tcBorders>
              <w:top w:val="single" w:color="000000" w:sz="4" w:space="0"/>
              <w:left w:val="single" w:color="000000" w:sz="4" w:space="0"/>
              <w:bottom w:val="single" w:color="000000" w:sz="4" w:space="0"/>
              <w:right w:val="single" w:color="000000" w:sz="4" w:space="0"/>
            </w:tcBorders>
            <w:noWrap w:val="0"/>
            <w:vAlign w:val="center"/>
          </w:tcPr>
          <w:p w14:paraId="2E1F57A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0C15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78E231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39</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C404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C89B2">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9F1E300">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夜购：</w:t>
            </w:r>
            <w:r>
              <w:rPr>
                <w:rStyle w:val="11"/>
                <w:rFonts w:hint="default" w:ascii="Times New Roman" w:hAnsi="Times New Roman" w:cs="Times New Roman"/>
                <w:lang w:val="en-US" w:eastAsia="zh-CN" w:bidi="ar"/>
              </w:rPr>
              <w:t>有一定数量的大型国内外连锁品牌店铺，大型商超，24小时便利店等，每有一类得4分，最多得12分。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C52868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56A682B9">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DE802C9">
            <w:pPr>
              <w:jc w:val="center"/>
              <w:rPr>
                <w:rFonts w:hint="default" w:ascii="Times New Roman" w:hAnsi="Times New Roman" w:eastAsia="仿宋_GB2312" w:cs="Times New Roman"/>
                <w:i w:val="0"/>
                <w:color w:val="000000"/>
                <w:sz w:val="24"/>
                <w:szCs w:val="24"/>
                <w:u w:val="none"/>
              </w:rPr>
            </w:pPr>
          </w:p>
        </w:tc>
      </w:tr>
      <w:tr w14:paraId="76652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8269A1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40</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9A810">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71B1E">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0F455B14">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夜食：</w:t>
            </w:r>
            <w:r>
              <w:rPr>
                <w:rStyle w:val="11"/>
                <w:rFonts w:hint="default" w:ascii="Times New Roman" w:hAnsi="Times New Roman" w:cs="Times New Roman"/>
                <w:lang w:val="en-US" w:eastAsia="zh-CN" w:bidi="ar"/>
              </w:rPr>
              <w:t>餐饮文化展示体验活动类型丰富，有当地餐饮文化特色店铺或产品、小吃、快餐、茶吧、咖啡吧、酒吧等场所，运营良好，每有一类得3分，最多得18分。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432332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35A4B6E">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A6CFD9C">
            <w:pPr>
              <w:jc w:val="center"/>
              <w:rPr>
                <w:rFonts w:hint="default" w:ascii="Times New Roman" w:hAnsi="Times New Roman" w:eastAsia="仿宋_GB2312" w:cs="Times New Roman"/>
                <w:i w:val="0"/>
                <w:color w:val="000000"/>
                <w:sz w:val="24"/>
                <w:szCs w:val="24"/>
                <w:u w:val="none"/>
              </w:rPr>
            </w:pPr>
          </w:p>
        </w:tc>
      </w:tr>
      <w:tr w14:paraId="60B7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462CA72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41</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0EABF">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59552C">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3FAA831C">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夜游：</w:t>
            </w:r>
            <w:r>
              <w:rPr>
                <w:rStyle w:val="11"/>
                <w:rFonts w:hint="default" w:ascii="Times New Roman" w:hAnsi="Times New Roman" w:cs="Times New Roman"/>
                <w:lang w:val="en-US" w:eastAsia="zh-CN" w:bidi="ar"/>
              </w:rPr>
              <w:t>打造夜间文旅项目，有体现地域文化的夜游景观、夜间网红打卡点的夜景，鼓励旅游景区推出夜间游览服务，每有一条夜游服务得3分，最多得12分。</w:t>
            </w:r>
            <w:r>
              <w:rPr>
                <w:rStyle w:val="11"/>
                <w:rFonts w:hint="default" w:ascii="Times New Roman" w:hAnsi="Times New Roman" w:cs="Times New Roman"/>
                <w:lang w:val="en-US" w:eastAsia="zh-CN" w:bidi="ar"/>
              </w:rPr>
              <w:br w:type="textWrapping"/>
            </w:r>
            <w:r>
              <w:rPr>
                <w:rStyle w:val="11"/>
                <w:rFonts w:hint="default" w:ascii="Times New Roman" w:hAnsi="Times New Roman" w:cs="Times New Roman"/>
                <w:lang w:val="en-US" w:eastAsia="zh-CN" w:bidi="ar"/>
              </w:rPr>
              <w:t xml:space="preserve">   **有博物馆、展览馆、美术馆、艺术馆、历史建筑、名人故居、实体书店及图书馆（分馆）等，运营良好，每有一类加2分，最多加20分。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834CA3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31D52CA">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13C845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426F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96007B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42</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F0FB8">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EBAB0">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DA98BC6">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夜健：</w:t>
            </w:r>
            <w:r>
              <w:rPr>
                <w:rStyle w:val="11"/>
                <w:rFonts w:hint="default" w:ascii="Times New Roman" w:hAnsi="Times New Roman" w:cs="Times New Roman"/>
                <w:lang w:val="en-US" w:eastAsia="zh-CN" w:bidi="ar"/>
              </w:rPr>
              <w:t>引入24小时健身房，开展夜跑、夜骑等潮流运动，每有一类得3分，最多得12分。</w:t>
            </w:r>
            <w:r>
              <w:rPr>
                <w:rStyle w:val="11"/>
                <w:rFonts w:hint="default" w:ascii="Times New Roman" w:hAnsi="Times New Roman" w:cs="Times New Roman"/>
                <w:lang w:val="en-US" w:eastAsia="zh-CN" w:bidi="ar"/>
              </w:rPr>
              <w:br w:type="textWrapping"/>
            </w:r>
            <w:r>
              <w:rPr>
                <w:rStyle w:val="11"/>
                <w:rFonts w:hint="default" w:ascii="Times New Roman" w:hAnsi="Times New Roman" w:cs="Times New Roman"/>
                <w:lang w:val="en-US" w:eastAsia="zh-CN" w:bidi="ar"/>
              </w:rPr>
              <w:t xml:space="preserve">   **集聚区内举办夜间体育赛事5场以上，加10分。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70FD4F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F83FD16">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F97E90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0701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FE2D1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43</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2E3D8">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7EDD2">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C6EA472">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夜娱：</w:t>
            </w:r>
            <w:r>
              <w:rPr>
                <w:rStyle w:val="11"/>
                <w:rFonts w:hint="default" w:ascii="Times New Roman" w:hAnsi="Times New Roman" w:cs="Times New Roman"/>
                <w:lang w:val="en-US" w:eastAsia="zh-CN" w:bidi="ar"/>
              </w:rPr>
              <w:t>谋划推出特色主题活动，丰富夜间娱乐项目，开展话剧、音乐剧、歌舞剧、3D灯光秀、音乐节等活动，每举办一场得3分，最多得15分。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11D587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6B759AF">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581B541">
            <w:pPr>
              <w:jc w:val="center"/>
              <w:rPr>
                <w:rFonts w:hint="default" w:ascii="Times New Roman" w:hAnsi="Times New Roman" w:eastAsia="仿宋_GB2312" w:cs="Times New Roman"/>
                <w:i w:val="0"/>
                <w:color w:val="000000"/>
                <w:sz w:val="24"/>
                <w:szCs w:val="24"/>
                <w:u w:val="none"/>
              </w:rPr>
            </w:pPr>
          </w:p>
        </w:tc>
      </w:tr>
      <w:tr w14:paraId="27C3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A857D4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44</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41B73">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E56C4">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340A241">
            <w:pPr>
              <w:keepNext w:val="0"/>
              <w:keepLines w:val="0"/>
              <w:widowControl/>
              <w:suppressLineNumbers w:val="0"/>
              <w:jc w:val="left"/>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夜宿：</w:t>
            </w:r>
            <w:r>
              <w:rPr>
                <w:rStyle w:val="11"/>
                <w:rFonts w:hint="default" w:ascii="Times New Roman" w:hAnsi="Times New Roman" w:cs="Times New Roman"/>
                <w:lang w:val="en-US" w:eastAsia="zh-CN" w:bidi="ar"/>
              </w:rPr>
              <w:t>星级酒店、精品民宿，每有一家得3分，最多得12分。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547671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BF6C479">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2DD25C34">
            <w:pPr>
              <w:jc w:val="center"/>
              <w:rPr>
                <w:rFonts w:hint="default" w:ascii="Times New Roman" w:hAnsi="Times New Roman" w:eastAsia="仿宋_GB2312" w:cs="Times New Roman"/>
                <w:i w:val="0"/>
                <w:color w:val="000000"/>
                <w:sz w:val="24"/>
                <w:szCs w:val="24"/>
                <w:u w:val="none"/>
              </w:rPr>
            </w:pPr>
          </w:p>
        </w:tc>
      </w:tr>
      <w:tr w14:paraId="4715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E51E353">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45</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8ADEE">
            <w:pPr>
              <w:jc w:val="center"/>
              <w:rPr>
                <w:rFonts w:hint="default" w:ascii="Times New Roman" w:hAnsi="Times New Roman" w:eastAsia="仿宋_GB2312" w:cs="Times New Roman"/>
                <w:b/>
                <w:i w:val="0"/>
                <w:color w:val="000000"/>
                <w:sz w:val="24"/>
                <w:szCs w:val="24"/>
                <w:u w:val="none"/>
              </w:rPr>
            </w:pP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D307DF">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品质高端。</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82A9444">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品牌丰富，建筑面积达到100平方米（含）以上的独立门店或专柜数量（同一品牌不重复计算）达20个（含）以上，得20分；未达10个，不计分。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5CC483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F075B6B">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CC5A52F">
            <w:pPr>
              <w:jc w:val="center"/>
              <w:rPr>
                <w:rFonts w:hint="default" w:ascii="Times New Roman" w:hAnsi="Times New Roman" w:eastAsia="仿宋_GB2312" w:cs="Times New Roman"/>
                <w:i w:val="0"/>
                <w:color w:val="000000"/>
                <w:sz w:val="24"/>
                <w:szCs w:val="24"/>
                <w:u w:val="none"/>
              </w:rPr>
            </w:pPr>
          </w:p>
        </w:tc>
      </w:tr>
      <w:tr w14:paraId="0468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DCC81E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46</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DF2BD">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0F27C">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B223155">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**品牌高端，建筑面积300（含）平方米以上的品牌旗舰店、总店或展示服务中心，每个加3分，最多加30分。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6E47136">
            <w:pPr>
              <w:rPr>
                <w:rFonts w:hint="default" w:ascii="Times New Roman" w:hAnsi="Times New Roman" w:eastAsia="宋体"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83189D8">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ECAE1C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7CAB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701500E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47</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B989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98AB9">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E3D5ECE">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**特色品牌集聚，建筑面积不低于50平方米的中华老字号、广西老字号、地方特色美食、传统手工艺、文化创意、体育彩票等门店（同一品牌不重复计算），每个加3分，最多加30分。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168B96F">
            <w:pPr>
              <w:rPr>
                <w:rFonts w:hint="default" w:ascii="Times New Roman" w:hAnsi="Times New Roman" w:eastAsia="宋体"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85D298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1C0981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3853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8AC477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48</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A092D">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19BA4F">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58E9344A">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品牌店有一定规模，建筑面积200平方米（含）以上的独立品牌店，每个得3分，最多得30分。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1ACBC02">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71F7D08">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3ACBB66">
            <w:pPr>
              <w:jc w:val="center"/>
              <w:rPr>
                <w:rFonts w:hint="default" w:ascii="Times New Roman" w:hAnsi="Times New Roman" w:eastAsia="仿宋_GB2312" w:cs="Times New Roman"/>
                <w:i w:val="0"/>
                <w:color w:val="000000"/>
                <w:sz w:val="24"/>
                <w:szCs w:val="24"/>
                <w:u w:val="none"/>
              </w:rPr>
            </w:pPr>
          </w:p>
        </w:tc>
      </w:tr>
      <w:tr w14:paraId="1DF1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301FAC5D">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49</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368A0FC">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活动丰富（30分）</w:t>
            </w: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08A2951B">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参与政府举办的购物消费、文艺活动。</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0C7C4FBA">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每年集聚区参与政府举办的促消费活动，每参与一场得5分，最多得30分。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F09A61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9792410">
            <w:pPr>
              <w:rPr>
                <w:rFonts w:hint="default" w:ascii="Times New Roman" w:hAnsi="Times New Roman" w:eastAsia="宋体"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4F08ECA1">
            <w:pPr>
              <w:rPr>
                <w:rFonts w:hint="default" w:ascii="Times New Roman" w:hAnsi="Times New Roman" w:eastAsia="宋体" w:cs="Times New Roman"/>
                <w:i w:val="0"/>
                <w:color w:val="000000"/>
                <w:sz w:val="24"/>
                <w:szCs w:val="24"/>
                <w:u w:val="none"/>
              </w:rPr>
            </w:pPr>
          </w:p>
        </w:tc>
      </w:tr>
      <w:tr w14:paraId="51F0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A2984BC">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193F6">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绿色经营（50分）</w:t>
            </w: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6E1F5">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注重绿色消费。</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B79809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**获评绿色商场的，得10分。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3B2F9D2">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FEF4026">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E0D5D53">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32D8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7440006">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51</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5F12D">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42C34">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A5F9322">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引导绿色消费，严格落实国家有关禁塑限塑规定，采取有效措施引导集聚区商铺减少不可降解塑料袋、塑料吸管/餐具等一次性塑料制品的消费量，得10分。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B0A72D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9DC17A1">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AC07344">
            <w:pPr>
              <w:jc w:val="center"/>
              <w:rPr>
                <w:rFonts w:hint="default" w:ascii="Times New Roman" w:hAnsi="Times New Roman" w:eastAsia="仿宋_GB2312" w:cs="Times New Roman"/>
                <w:i w:val="0"/>
                <w:color w:val="000000"/>
                <w:sz w:val="24"/>
                <w:szCs w:val="24"/>
                <w:u w:val="none"/>
              </w:rPr>
            </w:pPr>
          </w:p>
        </w:tc>
      </w:tr>
      <w:tr w14:paraId="4FF6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1E5B82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52</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C6BE1">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C93BDD">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2E5455B">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运用多种方式开展绿色消费宣传，传播绿色消费、环保、节能的理念，引导科学、适度、可持续的消费行为，得10分。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8ACE8FD">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0F49863">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14CA0584">
            <w:pPr>
              <w:jc w:val="center"/>
              <w:rPr>
                <w:rFonts w:hint="default" w:ascii="Times New Roman" w:hAnsi="Times New Roman" w:eastAsia="仿宋_GB2312" w:cs="Times New Roman"/>
                <w:i w:val="0"/>
                <w:color w:val="000000"/>
                <w:sz w:val="24"/>
                <w:szCs w:val="24"/>
                <w:u w:val="none"/>
              </w:rPr>
            </w:pPr>
          </w:p>
        </w:tc>
      </w:tr>
      <w:tr w14:paraId="2178F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9236E0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53</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9CAC3">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E9122">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2D20A48">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 xml:space="preserve">   **设有再生资源回收装置或回收点，并规范运营，加10分。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**开展以旧换新、积分兑换等提高再生资源回收利用的活动，加10分。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5FEB1A4">
            <w:pPr>
              <w:jc w:val="center"/>
              <w:rPr>
                <w:rFonts w:hint="default" w:ascii="Times New Roman" w:hAnsi="Times New Roman" w:eastAsia="仿宋_GB2312" w:cs="Times New Roman"/>
                <w:i w:val="0"/>
                <w:color w:val="000000"/>
                <w:sz w:val="24"/>
                <w:szCs w:val="24"/>
                <w:u w:val="none"/>
              </w:rPr>
            </w:pP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2E11974">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CAF156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63E5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4201" w:type="dxa"/>
            <w:gridSpan w:val="7"/>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F90B3FC">
            <w:pPr>
              <w:keepNext w:val="0"/>
              <w:keepLines w:val="0"/>
              <w:widowControl/>
              <w:suppressLineNumbers w:val="0"/>
              <w:jc w:val="left"/>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（四）综合效益（260分）</w:t>
            </w:r>
          </w:p>
        </w:tc>
      </w:tr>
      <w:tr w14:paraId="335A7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F9F967">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54</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1FBB49">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商业繁荣（200分）</w:t>
            </w: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70345081">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商业空置率低。</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2209286">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现场验收时尚未装修开业的商业设施视为空置，空置商业设施的建筑面积与集聚区总商业建筑面积之比为空置率，空置率5%（含）以内，得10分；5%-10%（含），得5分；10%以上，不得分。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A6D6F21">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E5656DA">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4E6E10B">
            <w:pPr>
              <w:jc w:val="center"/>
              <w:rPr>
                <w:rFonts w:hint="default" w:ascii="Times New Roman" w:hAnsi="Times New Roman" w:eastAsia="仿宋_GB2312" w:cs="Times New Roman"/>
                <w:i w:val="0"/>
                <w:color w:val="000000"/>
                <w:sz w:val="24"/>
                <w:szCs w:val="24"/>
                <w:u w:val="none"/>
              </w:rPr>
            </w:pPr>
          </w:p>
        </w:tc>
      </w:tr>
      <w:tr w14:paraId="7258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0A698EF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55</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DD5C7">
            <w:pPr>
              <w:jc w:val="center"/>
              <w:rPr>
                <w:rFonts w:hint="default" w:ascii="Times New Roman" w:hAnsi="Times New Roman" w:eastAsia="仿宋_GB2312" w:cs="Times New Roman"/>
                <w:b/>
                <w:i w:val="0"/>
                <w:color w:val="000000"/>
                <w:sz w:val="24"/>
                <w:szCs w:val="24"/>
                <w:u w:val="none"/>
              </w:rPr>
            </w:pP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74724DC3">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商业经营效益高。</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7B4879C8">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平效等于夜间消费集聚区年销售总额除以用于商业经营的建筑面积。</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最近年度平效1万元（含）以上，得30分；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最近年度平效0.5（含）-1万元，得20分；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最近年度平效0.2（含）-0.5万元，得10分；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最近年度平效低于0.2万元，得5分。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**最近年度平效1.5万元（含）-2万元，加5分；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**最近年度平效2万元（含）以上，加10分。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43117C7">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E581416">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2D50A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27AF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29C322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56</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8F195">
            <w:pPr>
              <w:jc w:val="center"/>
              <w:rPr>
                <w:rFonts w:hint="default" w:ascii="Times New Roman" w:hAnsi="Times New Roman" w:eastAsia="仿宋_GB2312" w:cs="Times New Roman"/>
                <w:b/>
                <w:i w:val="0"/>
                <w:color w:val="000000"/>
                <w:sz w:val="24"/>
                <w:szCs w:val="24"/>
                <w:u w:val="none"/>
              </w:rPr>
            </w:pP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07A9C09F">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带动消费效果良好。</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6EA88743">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带动集聚区商铺年消费10亿元（含）以上，得30分；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带动集聚区商铺年消费5亿元（含）-10亿元，得25分；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带动集聚区商铺年消费3亿元（含）-5亿元，得20亿元；</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带动集聚区商铺年消费1亿元（含）-3亿元，得15分；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带动集聚区商铺年消费5000万元（含）-1亿元，得10分；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带动集聚区商铺年消费5000万元以下，得5分。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**带动集聚区商铺年消费15亿元（含）-25亿元，加5分；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**带动集聚区商铺年消费25亿元（含）以上，加10分。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CC9044E">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4704F49">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4A048E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13CC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21E110DF">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57</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93CF3">
            <w:pPr>
              <w:jc w:val="center"/>
              <w:rPr>
                <w:rFonts w:hint="default" w:ascii="Times New Roman" w:hAnsi="Times New Roman" w:eastAsia="仿宋_GB2312" w:cs="Times New Roman"/>
                <w:b/>
                <w:i w:val="0"/>
                <w:color w:val="000000"/>
                <w:sz w:val="24"/>
                <w:szCs w:val="24"/>
                <w:u w:val="none"/>
              </w:rPr>
            </w:pPr>
          </w:p>
        </w:tc>
        <w:tc>
          <w:tcPr>
            <w:tcW w:w="32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01E57">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主体培育质量高。</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35231373">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集聚区依规纳入统计：</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1.集聚区按照统一管理、统一收银、统一核算模式进行运营，或采取品牌自营、商户联营、统一收银核算等方式，形成单一市场主体并依规纳入限额以上批零住餐统计，得60分。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2.集聚区以其他方式运营未纳入限额以上批零住餐统计，但以单一市场主体依规纳入规模以上服务业统计，得30分。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02DD6B8">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CAF2E45">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C13B973">
            <w:pPr>
              <w:jc w:val="center"/>
              <w:rPr>
                <w:rFonts w:hint="default" w:ascii="Times New Roman" w:hAnsi="Times New Roman" w:eastAsia="仿宋_GB2312" w:cs="Times New Roman"/>
                <w:i w:val="0"/>
                <w:color w:val="000000"/>
                <w:sz w:val="24"/>
                <w:szCs w:val="24"/>
                <w:u w:val="none"/>
              </w:rPr>
            </w:pPr>
          </w:p>
        </w:tc>
      </w:tr>
      <w:tr w14:paraId="1C73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6F08C7E8">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58</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57EE7">
            <w:pPr>
              <w:jc w:val="center"/>
              <w:rPr>
                <w:rFonts w:hint="default" w:ascii="Times New Roman" w:hAnsi="Times New Roman" w:eastAsia="仿宋_GB2312" w:cs="Times New Roman"/>
                <w:b/>
                <w:i w:val="0"/>
                <w:color w:val="000000"/>
                <w:sz w:val="24"/>
                <w:szCs w:val="24"/>
                <w:u w:val="none"/>
              </w:rPr>
            </w:pPr>
          </w:p>
        </w:tc>
        <w:tc>
          <w:tcPr>
            <w:tcW w:w="32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2F80A">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2168ED9A">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发展限额以上批发、零售、住宿、餐饮企业，拥有限额以上企业数量占集聚区总商铺数量的20%（含）以上，得50分；15%（含）-20%，得40分；10%（含）-15%，得30分；5%（含）-10%，加20分；5%以下，加10分，其中拥有0家企业不加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注：限额以上批发、零售、住宿、餐饮企业指营业收入超过一定的限额（批发业2000万元以上、零售业500万元以上、住宿业200万元以上、餐饮业200万元以上），并依规纳入统计部门统计的企业。</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1761A5D">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CCFED3D">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730B5218">
            <w:pPr>
              <w:jc w:val="center"/>
              <w:rPr>
                <w:rFonts w:hint="default" w:ascii="Times New Roman" w:hAnsi="Times New Roman" w:eastAsia="仿宋_GB2312" w:cs="Times New Roman"/>
                <w:i w:val="0"/>
                <w:color w:val="000000"/>
                <w:sz w:val="24"/>
                <w:szCs w:val="24"/>
                <w:u w:val="none"/>
              </w:rPr>
            </w:pPr>
          </w:p>
        </w:tc>
      </w:tr>
      <w:tr w14:paraId="45E4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5C6BCCC0">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59</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26EB2">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效益显著（60分）</w:t>
            </w: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339F5AD5">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客流聚集。</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3BCB570">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夜间消费集聚区运营管理机构需提供客流量统计方法，说明该统计方法的合理性和真实性。</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年客流量3000（含）万人次以上，得30分；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年客流量1500（含）-3000万人次，得25分；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年客流量1000（含）-1500万人次，得20分；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年客流量500（含）-1000万人次，得15分；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年客流量500万人次以下，得10分。</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 xml:space="preserve">   **年客流量5000（含）万人次以上，加10分。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A5BB8A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492380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B7DCC6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p>
        </w:tc>
      </w:tr>
      <w:tr w14:paraId="35DC8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14:paraId="18D89985">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56A5B">
            <w:pPr>
              <w:jc w:val="center"/>
              <w:rPr>
                <w:rFonts w:hint="default" w:ascii="Times New Roman" w:hAnsi="Times New Roman" w:eastAsia="仿宋_GB2312" w:cs="Times New Roman"/>
                <w:b/>
                <w:i w:val="0"/>
                <w:color w:val="000000"/>
                <w:sz w:val="24"/>
                <w:szCs w:val="24"/>
                <w:u w:val="none"/>
              </w:rPr>
            </w:pP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3728EAAD">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吸纳就业良好。</w:t>
            </w: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608603A7">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每千平方米商业建筑面积吸纳就业10人（含）以上，得20分；5-10人，得10分，5人以下不得分。</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144801C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2106780">
            <w:pPr>
              <w:jc w:val="center"/>
              <w:rPr>
                <w:rFonts w:hint="default" w:ascii="Times New Roman" w:hAnsi="Times New Roman" w:eastAsia="仿宋_GB2312" w:cs="Times New Roman"/>
                <w:i w:val="0"/>
                <w:color w:val="000000"/>
                <w:sz w:val="24"/>
                <w:szCs w:val="24"/>
                <w:u w:val="none"/>
              </w:rPr>
            </w:pP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6F7A1A94">
            <w:pPr>
              <w:jc w:val="center"/>
              <w:rPr>
                <w:rFonts w:hint="default" w:ascii="Times New Roman" w:hAnsi="Times New Roman" w:eastAsia="仿宋_GB2312" w:cs="Times New Roman"/>
                <w:i w:val="0"/>
                <w:color w:val="000000"/>
                <w:sz w:val="24"/>
                <w:szCs w:val="24"/>
                <w:u w:val="none"/>
              </w:rPr>
            </w:pPr>
          </w:p>
        </w:tc>
      </w:tr>
      <w:tr w14:paraId="4460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31AB">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合计</w:t>
            </w: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3A80E">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1000</w:t>
            </w:r>
          </w:p>
        </w:tc>
        <w:tc>
          <w:tcPr>
            <w:tcW w:w="3277" w:type="dxa"/>
            <w:tcBorders>
              <w:top w:val="single" w:color="000000" w:sz="4" w:space="0"/>
              <w:left w:val="single" w:color="000000" w:sz="4" w:space="0"/>
              <w:bottom w:val="single" w:color="000000" w:sz="4" w:space="0"/>
              <w:right w:val="single" w:color="000000" w:sz="4" w:space="0"/>
            </w:tcBorders>
            <w:noWrap w:val="0"/>
            <w:vAlign w:val="center"/>
          </w:tcPr>
          <w:p w14:paraId="68FE8055">
            <w:pPr>
              <w:jc w:val="left"/>
              <w:rPr>
                <w:rFonts w:hint="default" w:ascii="Times New Roman" w:hAnsi="Times New Roman" w:eastAsia="仿宋_GB2312" w:cs="Times New Roman"/>
                <w:i w:val="0"/>
                <w:color w:val="000000"/>
                <w:sz w:val="24"/>
                <w:szCs w:val="24"/>
                <w:u w:val="none"/>
              </w:rPr>
            </w:pPr>
          </w:p>
        </w:tc>
        <w:tc>
          <w:tcPr>
            <w:tcW w:w="5570" w:type="dxa"/>
            <w:tcBorders>
              <w:top w:val="single" w:color="000000" w:sz="4" w:space="0"/>
              <w:left w:val="single" w:color="000000" w:sz="4" w:space="0"/>
              <w:bottom w:val="single" w:color="000000" w:sz="4" w:space="0"/>
              <w:right w:val="single" w:color="000000" w:sz="4" w:space="0"/>
            </w:tcBorders>
            <w:noWrap w:val="0"/>
            <w:vAlign w:val="center"/>
          </w:tcPr>
          <w:p w14:paraId="4FFB3C86">
            <w:pPr>
              <w:jc w:val="left"/>
              <w:rPr>
                <w:rFonts w:hint="default" w:ascii="Times New Roman" w:hAnsi="Times New Roman" w:eastAsia="仿宋_GB2312" w:cs="Times New Roman"/>
                <w:b/>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795F3ED">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700</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7F4BB4B7">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300</w:t>
            </w:r>
          </w:p>
        </w:tc>
        <w:tc>
          <w:tcPr>
            <w:tcW w:w="1655" w:type="dxa"/>
            <w:tcBorders>
              <w:top w:val="single" w:color="000000" w:sz="4" w:space="0"/>
              <w:left w:val="single" w:color="000000" w:sz="4" w:space="0"/>
              <w:bottom w:val="single" w:color="000000" w:sz="4" w:space="0"/>
              <w:right w:val="single" w:color="000000" w:sz="4" w:space="0"/>
            </w:tcBorders>
            <w:noWrap/>
            <w:vAlign w:val="center"/>
          </w:tcPr>
          <w:p w14:paraId="0717A481">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4"/>
                <w:szCs w:val="24"/>
                <w:u w:val="none"/>
                <w:lang w:val="en-US" w:eastAsia="zh-CN" w:bidi="ar"/>
              </w:rPr>
            </w:pPr>
          </w:p>
        </w:tc>
      </w:tr>
    </w:tbl>
    <w:p w14:paraId="1DAE26B3">
      <w:pPr>
        <w:pStyle w:val="2"/>
        <w:ind w:left="0" w:leftChars="0" w:firstLine="0" w:firstLineChars="0"/>
        <w:jc w:val="center"/>
        <w:rPr>
          <w:rFonts w:hint="default" w:ascii="Times New Roman" w:hAnsi="Times New Roman" w:cs="Times New Roman"/>
          <w:lang w:val="en-US" w:eastAsia="zh-CN"/>
        </w:rPr>
      </w:pPr>
    </w:p>
    <w:p w14:paraId="18C3CF6A">
      <w:pPr>
        <w:keepNext w:val="0"/>
        <w:keepLines w:val="0"/>
        <w:pageBreakBefore w:val="0"/>
        <w:widowControl/>
        <w:kinsoku/>
        <w:wordWrap/>
        <w:overflowPunct/>
        <w:topLinePunct w:val="0"/>
        <w:autoSpaceDE/>
        <w:autoSpaceDN/>
        <w:bidi w:val="0"/>
        <w:adjustRightInd/>
        <w:snapToGrid/>
        <w:spacing w:afterAutospacing="0" w:line="560" w:lineRule="exact"/>
        <w:jc w:val="left"/>
        <w:textAlignment w:val="auto"/>
        <w:rPr>
          <w:rFonts w:hint="default" w:ascii="Times New Roman" w:hAnsi="Times New Roman" w:eastAsia="黑体" w:cs="Times New Roman"/>
          <w:sz w:val="32"/>
          <w:szCs w:val="32"/>
        </w:rPr>
        <w:sectPr>
          <w:pgSz w:w="16838" w:h="11906" w:orient="landscape"/>
          <w:pgMar w:top="1797" w:right="1440" w:bottom="1797" w:left="1440" w:header="851" w:footer="992" w:gutter="0"/>
          <w:pgNumType w:fmt="decimal"/>
          <w:cols w:space="720" w:num="1"/>
          <w:docGrid w:type="lines" w:linePitch="312" w:charSpace="0"/>
        </w:sectPr>
      </w:pPr>
    </w:p>
    <w:p w14:paraId="00052830">
      <w:pPr>
        <w:widowControl/>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3</w:t>
      </w:r>
    </w:p>
    <w:p w14:paraId="4AD85A20">
      <w:pPr>
        <w:tabs>
          <w:tab w:val="left" w:pos="5220"/>
        </w:tabs>
        <w:jc w:val="center"/>
        <w:rPr>
          <w:rFonts w:hint="default" w:ascii="Times New Roman" w:hAnsi="Times New Roman" w:eastAsia="黑体" w:cs="Times New Roman"/>
          <w:sz w:val="52"/>
          <w:szCs w:val="52"/>
        </w:rPr>
      </w:pPr>
    </w:p>
    <w:p w14:paraId="02163679">
      <w:pPr>
        <w:tabs>
          <w:tab w:val="left" w:pos="5220"/>
        </w:tabs>
        <w:jc w:val="center"/>
        <w:rPr>
          <w:rFonts w:hint="default" w:ascii="Times New Roman" w:hAnsi="Times New Roman" w:eastAsia="黑体" w:cs="Times New Roman"/>
          <w:sz w:val="52"/>
          <w:szCs w:val="52"/>
        </w:rPr>
      </w:pPr>
    </w:p>
    <w:p w14:paraId="3AEB60D2">
      <w:pPr>
        <w:tabs>
          <w:tab w:val="left" w:pos="640"/>
          <w:tab w:val="left" w:pos="840"/>
          <w:tab w:val="left" w:pos="5220"/>
        </w:tabs>
        <w:jc w:val="center"/>
        <w:rPr>
          <w:rFonts w:hint="default" w:ascii="Times New Roman" w:hAnsi="Times New Roman" w:eastAsia="方正小标宋简体" w:cs="Times New Roman"/>
          <w:sz w:val="60"/>
          <w:szCs w:val="60"/>
          <w:lang w:eastAsia="zh-CN"/>
        </w:rPr>
      </w:pPr>
      <w:r>
        <w:rPr>
          <w:rFonts w:hint="default" w:ascii="Times New Roman" w:hAnsi="Times New Roman" w:eastAsia="方正小标宋简体" w:cs="Times New Roman"/>
          <w:sz w:val="60"/>
          <w:szCs w:val="60"/>
          <w:lang w:eastAsia="zh-CN"/>
        </w:rPr>
        <w:t>夜间消费集聚区</w:t>
      </w:r>
    </w:p>
    <w:p w14:paraId="5797B854">
      <w:pPr>
        <w:tabs>
          <w:tab w:val="left" w:pos="640"/>
          <w:tab w:val="left" w:pos="840"/>
          <w:tab w:val="left" w:pos="5220"/>
        </w:tabs>
        <w:jc w:val="center"/>
        <w:rPr>
          <w:rFonts w:hint="default" w:ascii="Times New Roman" w:hAnsi="Times New Roman" w:eastAsia="方正小标宋简体" w:cs="Times New Roman"/>
          <w:sz w:val="60"/>
          <w:szCs w:val="60"/>
        </w:rPr>
      </w:pPr>
      <w:r>
        <w:rPr>
          <w:rFonts w:hint="default" w:ascii="Times New Roman" w:hAnsi="Times New Roman" w:eastAsia="方正小标宋简体" w:cs="Times New Roman"/>
          <w:sz w:val="60"/>
          <w:szCs w:val="60"/>
          <w:lang w:eastAsia="zh-CN"/>
        </w:rPr>
        <w:t>试点培育申报推荐</w:t>
      </w:r>
      <w:r>
        <w:rPr>
          <w:rFonts w:hint="default" w:ascii="Times New Roman" w:hAnsi="Times New Roman" w:eastAsia="方正小标宋简体" w:cs="Times New Roman"/>
          <w:sz w:val="60"/>
          <w:szCs w:val="60"/>
        </w:rPr>
        <w:t>表</w:t>
      </w:r>
    </w:p>
    <w:p w14:paraId="46601587">
      <w:pPr>
        <w:tabs>
          <w:tab w:val="left" w:pos="5220"/>
        </w:tabs>
        <w:jc w:val="center"/>
        <w:rPr>
          <w:rFonts w:hint="default" w:ascii="Times New Roman" w:hAnsi="Times New Roman" w:eastAsia="黑体" w:cs="Times New Roman"/>
          <w:sz w:val="52"/>
          <w:szCs w:val="52"/>
        </w:rPr>
      </w:pPr>
    </w:p>
    <w:p w14:paraId="2DFF0D89">
      <w:pPr>
        <w:tabs>
          <w:tab w:val="left" w:pos="5220"/>
        </w:tabs>
        <w:jc w:val="center"/>
        <w:rPr>
          <w:rFonts w:hint="default" w:ascii="Times New Roman" w:hAnsi="Times New Roman" w:eastAsia="黑体" w:cs="Times New Roman"/>
          <w:sz w:val="52"/>
          <w:szCs w:val="52"/>
        </w:rPr>
      </w:pPr>
    </w:p>
    <w:p w14:paraId="016537CC">
      <w:pPr>
        <w:tabs>
          <w:tab w:val="left" w:pos="5220"/>
        </w:tabs>
        <w:jc w:val="center"/>
        <w:rPr>
          <w:rFonts w:hint="default" w:ascii="Times New Roman" w:hAnsi="Times New Roman" w:eastAsia="黑体" w:cs="Times New Roman"/>
          <w:sz w:val="52"/>
          <w:szCs w:val="52"/>
        </w:rPr>
      </w:pPr>
    </w:p>
    <w:p w14:paraId="6E9EBEC7">
      <w:pPr>
        <w:ind w:firstLine="1132" w:firstLineChars="354"/>
        <w:rPr>
          <w:rFonts w:hint="default" w:ascii="Times New Roman" w:hAnsi="Times New Roman" w:eastAsia="仿宋_GB2312" w:cs="Times New Roman"/>
          <w:sz w:val="32"/>
          <w:szCs w:val="32"/>
          <w:u w:val="single"/>
        </w:rPr>
      </w:pPr>
      <w:r>
        <w:rPr>
          <w:rFonts w:hint="default" w:ascii="Times New Roman" w:hAnsi="Times New Roman" w:eastAsia="黑体" w:cs="Times New Roman"/>
          <w:sz w:val="32"/>
          <w:szCs w:val="32"/>
          <w:lang w:eastAsia="zh-CN"/>
        </w:rPr>
        <w:t>集聚区</w:t>
      </w:r>
      <w:r>
        <w:rPr>
          <w:rFonts w:hint="default" w:ascii="Times New Roman" w:hAnsi="Times New Roman" w:eastAsia="黑体" w:cs="Times New Roman"/>
          <w:sz w:val="32"/>
          <w:szCs w:val="32"/>
        </w:rPr>
        <w:t>名称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p>
    <w:p w14:paraId="5E65AF57">
      <w:pPr>
        <w:ind w:firstLine="800" w:firstLineChars="250"/>
        <w:rPr>
          <w:rFonts w:hint="default" w:ascii="Times New Roman" w:hAnsi="Times New Roman" w:eastAsia="仿宋_GB2312" w:cs="Times New Roman"/>
          <w:sz w:val="32"/>
          <w:szCs w:val="32"/>
          <w:u w:val="single"/>
        </w:rPr>
      </w:pPr>
    </w:p>
    <w:p w14:paraId="5FFCAB0A">
      <w:pPr>
        <w:ind w:firstLine="1132" w:firstLineChars="354"/>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集聚区</w:t>
      </w:r>
      <w:r>
        <w:rPr>
          <w:rFonts w:hint="default" w:ascii="Times New Roman" w:hAnsi="Times New Roman" w:eastAsia="黑体" w:cs="Times New Roman"/>
          <w:sz w:val="32"/>
          <w:szCs w:val="32"/>
        </w:rPr>
        <w:t>地址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single"/>
        </w:rPr>
        <w:t xml:space="preserve">                          </w:t>
      </w:r>
    </w:p>
    <w:p w14:paraId="24D4597E">
      <w:pPr>
        <w:ind w:firstLine="640" w:firstLineChars="200"/>
        <w:rPr>
          <w:rFonts w:hint="default" w:ascii="Times New Roman" w:hAnsi="Times New Roman" w:eastAsia="仿宋_GB2312" w:cs="Times New Roman"/>
          <w:kern w:val="0"/>
          <w:sz w:val="32"/>
          <w:szCs w:val="32"/>
        </w:rPr>
      </w:pPr>
    </w:p>
    <w:p w14:paraId="6676AB45">
      <w:pPr>
        <w:ind w:firstLine="640" w:firstLineChars="200"/>
        <w:rPr>
          <w:rFonts w:hint="default" w:ascii="Times New Roman" w:hAnsi="Times New Roman" w:eastAsia="仿宋_GB2312" w:cs="Times New Roman"/>
          <w:kern w:val="0"/>
          <w:sz w:val="32"/>
          <w:szCs w:val="32"/>
        </w:rPr>
      </w:pPr>
    </w:p>
    <w:p w14:paraId="590DDC62">
      <w:pPr>
        <w:ind w:firstLine="640" w:firstLineChars="200"/>
        <w:rPr>
          <w:rFonts w:hint="default" w:ascii="Times New Roman" w:hAnsi="Times New Roman" w:eastAsia="仿宋_GB2312" w:cs="Times New Roman"/>
          <w:kern w:val="0"/>
          <w:sz w:val="32"/>
          <w:szCs w:val="32"/>
        </w:rPr>
      </w:pPr>
    </w:p>
    <w:p w14:paraId="73F9A837">
      <w:pPr>
        <w:ind w:firstLine="640" w:firstLineChars="200"/>
        <w:rPr>
          <w:rFonts w:hint="default" w:ascii="Times New Roman" w:hAnsi="Times New Roman" w:eastAsia="仿宋_GB2312" w:cs="Times New Roman"/>
          <w:kern w:val="0"/>
          <w:sz w:val="32"/>
          <w:szCs w:val="32"/>
        </w:rPr>
      </w:pPr>
    </w:p>
    <w:p w14:paraId="5B03DE23">
      <w:pPr>
        <w:ind w:firstLine="0" w:firstLineChars="0"/>
        <w:rPr>
          <w:rFonts w:hint="default" w:ascii="Times New Roman" w:hAnsi="Times New Roman" w:eastAsia="仿宋_GB2312" w:cs="Times New Roman"/>
          <w:kern w:val="0"/>
          <w:sz w:val="32"/>
          <w:szCs w:val="32"/>
        </w:rPr>
      </w:pPr>
    </w:p>
    <w:p w14:paraId="48673D50">
      <w:pPr>
        <w:ind w:firstLine="1840" w:firstLineChars="57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填报单位：         （盖章）           </w:t>
      </w:r>
    </w:p>
    <w:p w14:paraId="4E1E995E">
      <w:pPr>
        <w:ind w:firstLine="1840" w:firstLineChars="575"/>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填报日期：      年     月     日</w:t>
      </w:r>
    </w:p>
    <w:p w14:paraId="768BF8AF">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tbl>
      <w:tblPr>
        <w:tblStyle w:val="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3469"/>
        <w:gridCol w:w="1650"/>
        <w:gridCol w:w="2034"/>
      </w:tblGrid>
      <w:tr w14:paraId="2E05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81" w:type="dxa"/>
            <w:gridSpan w:val="4"/>
            <w:shd w:val="clear" w:color="auto" w:fill="D7D7D7"/>
            <w:noWrap w:val="0"/>
            <w:vAlign w:val="center"/>
          </w:tcPr>
          <w:p w14:paraId="35202D46">
            <w:pPr>
              <w:ind w:left="0" w:leftChars="0" w:right="0" w:rightChars="0" w:firstLine="0" w:firstLineChars="0"/>
              <w:jc w:val="center"/>
              <w:rPr>
                <w:rFonts w:hint="default" w:ascii="Times New Roman" w:hAnsi="Times New Roman" w:eastAsia="宋体" w:cs="Times New Roman"/>
                <w:b/>
                <w:bCs/>
                <w:sz w:val="24"/>
                <w:szCs w:val="24"/>
              </w:rPr>
            </w:pPr>
            <w:r>
              <w:rPr>
                <w:rFonts w:hint="default" w:ascii="Times New Roman" w:hAnsi="Times New Roman" w:cs="Times New Roman"/>
                <w:b/>
                <w:bCs/>
                <w:sz w:val="24"/>
                <w:szCs w:val="24"/>
                <w:lang w:eastAsia="zh-CN"/>
              </w:rPr>
              <w:t>基本信息</w:t>
            </w:r>
          </w:p>
        </w:tc>
      </w:tr>
      <w:tr w14:paraId="54EE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2128" w:type="dxa"/>
            <w:noWrap w:val="0"/>
            <w:vAlign w:val="center"/>
          </w:tcPr>
          <w:p w14:paraId="35F463F7">
            <w:pPr>
              <w:ind w:left="0" w:leftChars="0" w:right="0" w:rightChars="0" w:firstLine="0" w:firstLineChars="0"/>
              <w:jc w:val="center"/>
              <w:rPr>
                <w:rFonts w:hint="default" w:ascii="Times New Roman" w:hAnsi="Times New Roman" w:cs="Times New Roman"/>
                <w:b w:val="0"/>
                <w:bCs w:val="0"/>
                <w:sz w:val="24"/>
                <w:szCs w:val="24"/>
                <w:lang w:eastAsia="zh-CN"/>
              </w:rPr>
            </w:pPr>
            <w:r>
              <w:rPr>
                <w:rFonts w:hint="default" w:ascii="Times New Roman" w:hAnsi="Times New Roman" w:eastAsia="黑体" w:cs="Times New Roman"/>
                <w:color w:val="000000"/>
                <w:kern w:val="0"/>
                <w:sz w:val="24"/>
                <w:szCs w:val="28"/>
                <w:lang w:eastAsia="zh-CN"/>
              </w:rPr>
              <w:t>集聚区名称</w:t>
            </w:r>
          </w:p>
        </w:tc>
        <w:tc>
          <w:tcPr>
            <w:tcW w:w="7153" w:type="dxa"/>
            <w:gridSpan w:val="3"/>
            <w:noWrap w:val="0"/>
            <w:vAlign w:val="center"/>
          </w:tcPr>
          <w:p w14:paraId="4B83F37C">
            <w:pPr>
              <w:ind w:left="0" w:leftChars="0" w:right="0" w:rightChars="0" w:firstLine="0" w:firstLineChars="0"/>
              <w:jc w:val="center"/>
              <w:rPr>
                <w:rFonts w:hint="default" w:ascii="Times New Roman" w:hAnsi="Times New Roman" w:eastAsia="宋体" w:cs="Times New Roman"/>
                <w:b w:val="0"/>
                <w:bCs w:val="0"/>
                <w:sz w:val="24"/>
                <w:szCs w:val="24"/>
              </w:rPr>
            </w:pPr>
          </w:p>
        </w:tc>
      </w:tr>
      <w:tr w14:paraId="0E9D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128" w:type="dxa"/>
            <w:noWrap w:val="0"/>
            <w:vAlign w:val="center"/>
          </w:tcPr>
          <w:p w14:paraId="5706C867">
            <w:pPr>
              <w:jc w:val="center"/>
              <w:rPr>
                <w:rFonts w:hint="default" w:ascii="Times New Roman" w:hAnsi="Times New Roman" w:eastAsia="宋体" w:cs="Times New Roman"/>
                <w:b w:val="0"/>
                <w:bCs w:val="0"/>
                <w:sz w:val="24"/>
                <w:szCs w:val="24"/>
                <w:lang w:eastAsia="zh-CN"/>
              </w:rPr>
            </w:pPr>
            <w:r>
              <w:rPr>
                <w:rFonts w:hint="default" w:ascii="Times New Roman" w:hAnsi="Times New Roman" w:eastAsia="黑体" w:cs="Times New Roman"/>
                <w:color w:val="000000"/>
                <w:kern w:val="0"/>
                <w:sz w:val="24"/>
                <w:szCs w:val="28"/>
                <w:lang w:eastAsia="zh-CN"/>
              </w:rPr>
              <w:t>申报单位名称</w:t>
            </w:r>
          </w:p>
        </w:tc>
        <w:tc>
          <w:tcPr>
            <w:tcW w:w="7153" w:type="dxa"/>
            <w:gridSpan w:val="3"/>
            <w:noWrap w:val="0"/>
            <w:vAlign w:val="center"/>
          </w:tcPr>
          <w:p w14:paraId="03F23B2A">
            <w:pPr>
              <w:rPr>
                <w:rFonts w:hint="default" w:ascii="Times New Roman" w:hAnsi="Times New Roman" w:cs="Times New Roman"/>
              </w:rPr>
            </w:pPr>
          </w:p>
          <w:p w14:paraId="021E6227">
            <w:pPr>
              <w:rPr>
                <w:rFonts w:hint="default" w:ascii="Times New Roman" w:hAnsi="Times New Roman" w:cs="Times New Roman"/>
              </w:rPr>
            </w:pPr>
          </w:p>
          <w:p w14:paraId="4BA9DE23">
            <w:pPr>
              <w:widowControl/>
              <w:jc w:val="center"/>
              <w:rPr>
                <w:rFonts w:hint="default" w:ascii="Times New Roman" w:hAnsi="Times New Roman" w:eastAsia="宋体" w:cs="Times New Roman"/>
                <w:b w:val="0"/>
                <w:bCs w:val="0"/>
                <w:color w:val="000000"/>
                <w:kern w:val="0"/>
                <w:sz w:val="24"/>
                <w:szCs w:val="24"/>
              </w:rPr>
            </w:pPr>
          </w:p>
        </w:tc>
      </w:tr>
      <w:tr w14:paraId="7372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28" w:type="dxa"/>
            <w:noWrap w:val="0"/>
            <w:vAlign w:val="center"/>
          </w:tcPr>
          <w:p w14:paraId="64A5575B">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集聚区运营管理机构名称</w:t>
            </w:r>
          </w:p>
        </w:tc>
        <w:tc>
          <w:tcPr>
            <w:tcW w:w="7153" w:type="dxa"/>
            <w:gridSpan w:val="3"/>
            <w:noWrap w:val="0"/>
            <w:vAlign w:val="center"/>
          </w:tcPr>
          <w:p w14:paraId="6AC06BE8">
            <w:pPr>
              <w:ind w:left="0" w:leftChars="0" w:right="0" w:rightChars="0" w:firstLine="0" w:firstLineChars="0"/>
              <w:jc w:val="center"/>
              <w:rPr>
                <w:rFonts w:hint="default" w:ascii="Times New Roman" w:hAnsi="Times New Roman" w:eastAsia="宋体" w:cs="Times New Roman"/>
                <w:b w:val="0"/>
                <w:bCs w:val="0"/>
                <w:sz w:val="24"/>
                <w:szCs w:val="24"/>
              </w:rPr>
            </w:pPr>
          </w:p>
        </w:tc>
      </w:tr>
      <w:tr w14:paraId="254E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128" w:type="dxa"/>
            <w:noWrap w:val="0"/>
            <w:vAlign w:val="center"/>
          </w:tcPr>
          <w:p w14:paraId="5E49BE19">
            <w:pPr>
              <w:ind w:left="0" w:leftChars="0" w:right="0" w:rightChars="0" w:firstLine="0" w:firstLineChars="0"/>
              <w:jc w:val="center"/>
              <w:rPr>
                <w:rFonts w:hint="default" w:ascii="Times New Roman" w:hAnsi="Times New Roman" w:eastAsia="宋体" w:cs="Times New Roman"/>
                <w:b w:val="0"/>
                <w:bCs w:val="0"/>
                <w:sz w:val="24"/>
                <w:szCs w:val="24"/>
                <w:lang w:eastAsia="zh-CN"/>
              </w:rPr>
            </w:pPr>
            <w:r>
              <w:rPr>
                <w:rFonts w:hint="default" w:ascii="Times New Roman" w:hAnsi="Times New Roman" w:eastAsia="黑体" w:cs="Times New Roman"/>
                <w:color w:val="000000"/>
                <w:kern w:val="0"/>
                <w:sz w:val="24"/>
                <w:szCs w:val="28"/>
                <w:lang w:eastAsia="zh-CN"/>
              </w:rPr>
              <w:t>四至范围</w:t>
            </w:r>
          </w:p>
        </w:tc>
        <w:tc>
          <w:tcPr>
            <w:tcW w:w="7153" w:type="dxa"/>
            <w:gridSpan w:val="3"/>
            <w:noWrap w:val="0"/>
            <w:vAlign w:val="center"/>
          </w:tcPr>
          <w:p w14:paraId="1F490E3C">
            <w:pPr>
              <w:ind w:left="0" w:leftChars="0" w:right="0" w:rightChars="0" w:firstLine="0" w:firstLineChars="0"/>
              <w:jc w:val="center"/>
              <w:rPr>
                <w:rFonts w:hint="default" w:ascii="Times New Roman" w:hAnsi="Times New Roman" w:eastAsia="宋体" w:cs="Times New Roman"/>
                <w:b w:val="0"/>
                <w:bCs w:val="0"/>
                <w:sz w:val="24"/>
                <w:szCs w:val="24"/>
              </w:rPr>
            </w:pPr>
          </w:p>
        </w:tc>
      </w:tr>
      <w:tr w14:paraId="3AE8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8" w:type="dxa"/>
            <w:noWrap w:val="0"/>
            <w:vAlign w:val="center"/>
          </w:tcPr>
          <w:p w14:paraId="24EEF31E">
            <w:pPr>
              <w:widowControl/>
              <w:jc w:val="center"/>
              <w:rPr>
                <w:rFonts w:hint="default" w:ascii="Times New Roman" w:hAnsi="Times New Roman" w:eastAsia="宋体" w:cs="Times New Roman"/>
                <w:b w:val="0"/>
                <w:bCs w:val="0"/>
                <w:sz w:val="24"/>
                <w:szCs w:val="24"/>
                <w:lang w:eastAsia="zh-CN"/>
              </w:rPr>
            </w:pPr>
            <w:r>
              <w:rPr>
                <w:rFonts w:hint="default" w:ascii="Times New Roman" w:hAnsi="Times New Roman" w:eastAsia="黑体" w:cs="Times New Roman"/>
                <w:color w:val="000000"/>
                <w:kern w:val="0"/>
                <w:sz w:val="24"/>
                <w:szCs w:val="28"/>
              </w:rPr>
              <w:t>地理位置</w:t>
            </w:r>
          </w:p>
        </w:tc>
        <w:tc>
          <w:tcPr>
            <w:tcW w:w="7153" w:type="dxa"/>
            <w:gridSpan w:val="3"/>
            <w:noWrap w:val="0"/>
            <w:vAlign w:val="center"/>
          </w:tcPr>
          <w:p w14:paraId="522705EF">
            <w:pPr>
              <w:widowControl/>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kern w:val="0"/>
                <w:sz w:val="24"/>
                <w:szCs w:val="24"/>
              </w:rPr>
              <w:t>□核心城区  □中心城区  □城郊区县</w:t>
            </w:r>
          </w:p>
        </w:tc>
      </w:tr>
      <w:tr w14:paraId="163A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28" w:type="dxa"/>
            <w:noWrap w:val="0"/>
            <w:vAlign w:val="center"/>
          </w:tcPr>
          <w:p w14:paraId="74535B0D">
            <w:pPr>
              <w:widowControl/>
              <w:jc w:val="center"/>
              <w:rPr>
                <w:rFonts w:hint="default" w:ascii="Times New Roman" w:hAnsi="Times New Roman" w:eastAsia="宋体" w:cs="Times New Roman"/>
                <w:b w:val="0"/>
                <w:bCs w:val="0"/>
                <w:sz w:val="24"/>
                <w:szCs w:val="24"/>
                <w:lang w:eastAsia="zh-CN"/>
              </w:rPr>
            </w:pPr>
            <w:r>
              <w:rPr>
                <w:rFonts w:hint="default" w:ascii="Times New Roman" w:hAnsi="Times New Roman" w:eastAsia="黑体" w:cs="Times New Roman"/>
                <w:color w:val="000000"/>
                <w:kern w:val="0"/>
                <w:sz w:val="24"/>
                <w:szCs w:val="28"/>
              </w:rPr>
              <w:t>机构类型</w:t>
            </w:r>
          </w:p>
        </w:tc>
        <w:tc>
          <w:tcPr>
            <w:tcW w:w="7153" w:type="dxa"/>
            <w:gridSpan w:val="3"/>
            <w:noWrap w:val="0"/>
            <w:vAlign w:val="center"/>
          </w:tcPr>
          <w:p w14:paraId="17125D8A">
            <w:pPr>
              <w:widowControl/>
              <w:jc w:val="both"/>
              <w:rPr>
                <w:rFonts w:hint="default" w:ascii="Times New Roman" w:hAnsi="Times New Roman" w:eastAsia="宋体" w:cs="Times New Roman"/>
                <w:b w:val="0"/>
                <w:bCs w:val="0"/>
                <w:sz w:val="24"/>
                <w:szCs w:val="24"/>
                <w:lang w:eastAsia="zh-CN"/>
              </w:rPr>
            </w:pPr>
            <w:r>
              <w:rPr>
                <w:rFonts w:hint="default" w:ascii="Times New Roman" w:hAnsi="Times New Roman" w:cs="Times New Roman"/>
                <w:b w:val="0"/>
                <w:bCs w:val="0"/>
                <w:color w:val="000000"/>
                <w:kern w:val="0"/>
                <w:sz w:val="24"/>
                <w:szCs w:val="24"/>
                <w:lang w:val="en-US" w:eastAsia="zh-CN"/>
              </w:rPr>
              <w:t xml:space="preserve">        </w:t>
            </w:r>
            <w:r>
              <w:rPr>
                <w:rFonts w:hint="default" w:ascii="Times New Roman" w:hAnsi="Times New Roman" w:eastAsia="宋体" w:cs="Times New Roman"/>
                <w:b w:val="0"/>
                <w:bCs w:val="0"/>
                <w:color w:val="000000"/>
                <w:kern w:val="0"/>
                <w:sz w:val="24"/>
                <w:szCs w:val="24"/>
              </w:rPr>
              <w:t>□政府机构  □事业单位  □企业 □其他</w:t>
            </w:r>
            <w:r>
              <w:rPr>
                <w:rFonts w:hint="default" w:ascii="Times New Roman" w:hAnsi="Times New Roman" w:cs="Times New Roman"/>
                <w:b w:val="0"/>
                <w:bCs w:val="0"/>
                <w:color w:val="000000"/>
                <w:kern w:val="0"/>
                <w:sz w:val="24"/>
                <w:szCs w:val="24"/>
                <w:u w:val="single"/>
                <w:lang w:val="en-US" w:eastAsia="zh-CN"/>
              </w:rPr>
              <w:t xml:space="preserve">          </w:t>
            </w:r>
          </w:p>
        </w:tc>
      </w:tr>
      <w:tr w14:paraId="7E99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2128" w:type="dxa"/>
            <w:noWrap w:val="0"/>
            <w:vAlign w:val="center"/>
          </w:tcPr>
          <w:p w14:paraId="78729F86">
            <w:pPr>
              <w:ind w:left="0" w:leftChars="0" w:right="0" w:rightChars="0" w:firstLine="0" w:firstLineChars="0"/>
              <w:jc w:val="center"/>
              <w:rPr>
                <w:rFonts w:hint="default" w:ascii="Times New Roman" w:hAnsi="Times New Roman" w:eastAsia="宋体" w:cs="Times New Roman"/>
                <w:b w:val="0"/>
                <w:bCs w:val="0"/>
                <w:sz w:val="24"/>
                <w:szCs w:val="24"/>
                <w:lang w:eastAsia="zh-CN"/>
              </w:rPr>
            </w:pPr>
            <w:r>
              <w:rPr>
                <w:rFonts w:hint="default" w:ascii="Times New Roman" w:hAnsi="Times New Roman" w:eastAsia="黑体" w:cs="Times New Roman"/>
                <w:color w:val="000000"/>
                <w:kern w:val="0"/>
                <w:sz w:val="24"/>
                <w:szCs w:val="28"/>
                <w:lang w:eastAsia="zh-CN"/>
              </w:rPr>
              <w:t>所属类型（单选）</w:t>
            </w:r>
          </w:p>
        </w:tc>
        <w:tc>
          <w:tcPr>
            <w:tcW w:w="7153" w:type="dxa"/>
            <w:gridSpan w:val="3"/>
            <w:noWrap w:val="0"/>
            <w:vAlign w:val="center"/>
          </w:tcPr>
          <w:p w14:paraId="45048DB5">
            <w:pPr>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w:t>
            </w:r>
            <w:r>
              <w:rPr>
                <w:rFonts w:hint="default" w:ascii="Times New Roman" w:hAnsi="Times New Roman" w:cs="Times New Roman"/>
                <w:b w:val="0"/>
                <w:bCs w:val="0"/>
                <w:sz w:val="24"/>
                <w:szCs w:val="24"/>
                <w:lang w:eastAsia="zh-CN"/>
              </w:rPr>
              <w:t>商业</w:t>
            </w:r>
            <w:r>
              <w:rPr>
                <w:rFonts w:hint="default" w:ascii="Times New Roman" w:hAnsi="Times New Roman" w:eastAsia="宋体" w:cs="Times New Roman"/>
                <w:b w:val="0"/>
                <w:bCs w:val="0"/>
                <w:sz w:val="24"/>
                <w:szCs w:val="24"/>
                <w:lang w:eastAsia="zh-CN"/>
              </w:rPr>
              <w:t>街区</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eastAsia="zh-CN"/>
              </w:rPr>
              <w:t>□文体商旅综合体</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旅游景区</w:t>
            </w:r>
          </w:p>
          <w:p w14:paraId="3928C8EC">
            <w:pPr>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体育园区或场馆</w:t>
            </w:r>
          </w:p>
          <w:p w14:paraId="228F0FA3">
            <w:pPr>
              <w:ind w:left="0" w:leftChars="0" w:right="0" w:rightChars="0" w:firstLine="0" w:firstLineChars="0"/>
              <w:jc w:val="left"/>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val="en-US" w:eastAsia="zh-CN"/>
              </w:rPr>
              <w:t>其他（请注明）</w:t>
            </w:r>
            <w:r>
              <w:rPr>
                <w:rFonts w:hint="default" w:ascii="Times New Roman" w:hAnsi="Times New Roman" w:eastAsia="宋体" w:cs="Times New Roman"/>
                <w:b w:val="0"/>
                <w:bCs w:val="0"/>
                <w:sz w:val="24"/>
                <w:szCs w:val="24"/>
                <w:u w:val="single" w:color="auto"/>
                <w:lang w:val="en-US" w:eastAsia="zh-CN"/>
              </w:rPr>
              <w:t xml:space="preserve">                         </w:t>
            </w:r>
          </w:p>
        </w:tc>
      </w:tr>
      <w:tr w14:paraId="074D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08FD4027">
            <w:pPr>
              <w:ind w:left="0" w:leftChars="0" w:right="0" w:rightChars="0" w:firstLine="0" w:firstLineChars="0"/>
              <w:jc w:val="center"/>
              <w:rPr>
                <w:rFonts w:hint="default" w:ascii="Times New Roman" w:hAnsi="Times New Roman" w:eastAsia="宋体" w:cs="Times New Roman"/>
                <w:b w:val="0"/>
                <w:bCs/>
                <w:sz w:val="24"/>
                <w:szCs w:val="24"/>
                <w:lang w:eastAsia="zh-CN"/>
              </w:rPr>
            </w:pPr>
            <w:r>
              <w:rPr>
                <w:rFonts w:hint="default" w:ascii="Times New Roman" w:hAnsi="Times New Roman" w:eastAsia="黑体" w:cs="Times New Roman"/>
                <w:color w:val="000000"/>
                <w:kern w:val="0"/>
                <w:sz w:val="24"/>
                <w:szCs w:val="28"/>
                <w:lang w:eastAsia="zh-CN"/>
              </w:rPr>
              <w:t>申报单位</w:t>
            </w:r>
            <w:r>
              <w:rPr>
                <w:rFonts w:hint="default" w:ascii="Times New Roman" w:hAnsi="Times New Roman" w:eastAsia="黑体" w:cs="Times New Roman"/>
                <w:color w:val="000000"/>
                <w:kern w:val="0"/>
                <w:sz w:val="24"/>
                <w:szCs w:val="28"/>
              </w:rPr>
              <w:t>法定代表或机构负责人</w:t>
            </w:r>
          </w:p>
        </w:tc>
        <w:tc>
          <w:tcPr>
            <w:tcW w:w="3469" w:type="dxa"/>
            <w:noWrap w:val="0"/>
            <w:vAlign w:val="center"/>
          </w:tcPr>
          <w:p w14:paraId="2619FEA9">
            <w:pPr>
              <w:ind w:left="0" w:leftChars="0" w:right="0" w:rightChars="0" w:firstLine="0" w:firstLineChars="0"/>
              <w:jc w:val="center"/>
              <w:rPr>
                <w:rFonts w:hint="default" w:ascii="Times New Roman" w:hAnsi="Times New Roman" w:eastAsia="宋体" w:cs="Times New Roman"/>
                <w:b w:val="0"/>
                <w:bCs/>
                <w:sz w:val="24"/>
                <w:szCs w:val="24"/>
              </w:rPr>
            </w:pPr>
          </w:p>
        </w:tc>
        <w:tc>
          <w:tcPr>
            <w:tcW w:w="1650" w:type="dxa"/>
            <w:noWrap w:val="0"/>
            <w:vAlign w:val="center"/>
          </w:tcPr>
          <w:p w14:paraId="365CB4A0">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联系电话</w:t>
            </w:r>
          </w:p>
          <w:p w14:paraId="7A595F86">
            <w:pPr>
              <w:ind w:left="0" w:leftChars="0" w:right="0" w:rightChars="0" w:firstLine="0" w:firstLineChars="0"/>
              <w:jc w:val="center"/>
              <w:rPr>
                <w:rFonts w:hint="default" w:ascii="Times New Roman" w:hAnsi="Times New Roman" w:eastAsia="宋体" w:cs="Times New Roman"/>
                <w:b w:val="0"/>
                <w:bCs/>
                <w:sz w:val="24"/>
                <w:szCs w:val="24"/>
                <w:lang w:val="en" w:eastAsia="zh-CN"/>
              </w:rPr>
            </w:pPr>
            <w:r>
              <w:rPr>
                <w:rFonts w:hint="default" w:ascii="Times New Roman" w:hAnsi="Times New Roman" w:eastAsia="黑体" w:cs="Times New Roman"/>
                <w:color w:val="000000"/>
                <w:kern w:val="0"/>
                <w:sz w:val="24"/>
                <w:szCs w:val="28"/>
                <w:lang w:eastAsia="zh-CN"/>
              </w:rPr>
              <w:t>（手机）</w:t>
            </w:r>
          </w:p>
        </w:tc>
        <w:tc>
          <w:tcPr>
            <w:tcW w:w="2034" w:type="dxa"/>
            <w:noWrap w:val="0"/>
            <w:vAlign w:val="center"/>
          </w:tcPr>
          <w:p w14:paraId="10057452">
            <w:pPr>
              <w:ind w:left="0" w:leftChars="0" w:right="0" w:rightChars="0" w:firstLine="0" w:firstLineChars="0"/>
              <w:jc w:val="center"/>
              <w:rPr>
                <w:rFonts w:hint="default" w:ascii="Times New Roman" w:hAnsi="Times New Roman" w:eastAsia="宋体" w:cs="Times New Roman"/>
                <w:b w:val="0"/>
                <w:bCs/>
                <w:sz w:val="24"/>
                <w:szCs w:val="24"/>
              </w:rPr>
            </w:pPr>
          </w:p>
        </w:tc>
      </w:tr>
      <w:tr w14:paraId="2773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777F5077">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申报</w:t>
            </w:r>
            <w:r>
              <w:rPr>
                <w:rFonts w:hint="default" w:ascii="Times New Roman" w:hAnsi="Times New Roman" w:eastAsia="黑体" w:cs="Times New Roman"/>
                <w:color w:val="000000"/>
                <w:kern w:val="0"/>
                <w:sz w:val="24"/>
                <w:szCs w:val="28"/>
              </w:rPr>
              <w:t>联系人</w:t>
            </w:r>
            <w:r>
              <w:rPr>
                <w:rFonts w:hint="default" w:ascii="Times New Roman" w:hAnsi="Times New Roman" w:eastAsia="黑体" w:cs="Times New Roman"/>
                <w:color w:val="000000"/>
                <w:kern w:val="0"/>
                <w:sz w:val="24"/>
                <w:szCs w:val="28"/>
                <w:lang w:eastAsia="zh-CN"/>
              </w:rPr>
              <w:t>及</w:t>
            </w:r>
          </w:p>
          <w:p w14:paraId="07DE3A5F">
            <w:pPr>
              <w:ind w:left="0" w:leftChars="0" w:right="0" w:rightChars="0" w:firstLine="0" w:firstLineChars="0"/>
              <w:jc w:val="center"/>
              <w:rPr>
                <w:rFonts w:hint="default" w:ascii="Times New Roman" w:hAnsi="Times New Roman" w:eastAsia="宋体" w:cs="Times New Roman"/>
                <w:b w:val="0"/>
                <w:bCs/>
                <w:sz w:val="24"/>
                <w:szCs w:val="24"/>
                <w:lang w:eastAsia="zh-CN"/>
              </w:rPr>
            </w:pPr>
            <w:r>
              <w:rPr>
                <w:rFonts w:hint="default" w:ascii="Times New Roman" w:hAnsi="Times New Roman" w:eastAsia="黑体" w:cs="Times New Roman"/>
                <w:color w:val="000000"/>
                <w:kern w:val="0"/>
                <w:sz w:val="24"/>
                <w:szCs w:val="28"/>
                <w:lang w:eastAsia="zh-CN"/>
              </w:rPr>
              <w:t>职务</w:t>
            </w:r>
          </w:p>
        </w:tc>
        <w:tc>
          <w:tcPr>
            <w:tcW w:w="3469" w:type="dxa"/>
            <w:noWrap w:val="0"/>
            <w:vAlign w:val="center"/>
          </w:tcPr>
          <w:p w14:paraId="5459AA69">
            <w:pPr>
              <w:ind w:left="0" w:leftChars="0" w:right="0" w:rightChars="0" w:firstLine="0" w:firstLineChars="0"/>
              <w:jc w:val="center"/>
              <w:rPr>
                <w:rFonts w:hint="default" w:ascii="Times New Roman" w:hAnsi="Times New Roman" w:eastAsia="宋体" w:cs="Times New Roman"/>
                <w:b w:val="0"/>
                <w:bCs/>
                <w:sz w:val="24"/>
                <w:szCs w:val="24"/>
              </w:rPr>
            </w:pPr>
          </w:p>
        </w:tc>
        <w:tc>
          <w:tcPr>
            <w:tcW w:w="1650" w:type="dxa"/>
            <w:noWrap w:val="0"/>
            <w:vAlign w:val="center"/>
          </w:tcPr>
          <w:p w14:paraId="2F84B472">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联系电话</w:t>
            </w:r>
          </w:p>
          <w:p w14:paraId="37886198">
            <w:pPr>
              <w:ind w:left="0" w:leftChars="0" w:right="0" w:rightChars="0" w:firstLine="0" w:firstLineChars="0"/>
              <w:jc w:val="center"/>
              <w:rPr>
                <w:rFonts w:hint="default" w:ascii="Times New Roman" w:hAnsi="Times New Roman" w:eastAsia="宋体" w:cs="Times New Roman"/>
                <w:b w:val="0"/>
                <w:bCs/>
                <w:sz w:val="24"/>
                <w:szCs w:val="24"/>
                <w:lang w:eastAsia="zh-CN"/>
              </w:rPr>
            </w:pPr>
            <w:r>
              <w:rPr>
                <w:rFonts w:hint="default" w:ascii="Times New Roman" w:hAnsi="Times New Roman" w:eastAsia="黑体" w:cs="Times New Roman"/>
                <w:color w:val="000000"/>
                <w:kern w:val="0"/>
                <w:sz w:val="24"/>
                <w:szCs w:val="28"/>
                <w:lang w:eastAsia="zh-CN"/>
              </w:rPr>
              <w:t>（手机）</w:t>
            </w:r>
          </w:p>
        </w:tc>
        <w:tc>
          <w:tcPr>
            <w:tcW w:w="2034" w:type="dxa"/>
            <w:noWrap w:val="0"/>
            <w:vAlign w:val="center"/>
          </w:tcPr>
          <w:p w14:paraId="5D28BAAC">
            <w:pPr>
              <w:ind w:left="0" w:leftChars="0" w:right="0" w:rightChars="0" w:firstLine="0" w:firstLineChars="0"/>
              <w:jc w:val="center"/>
              <w:rPr>
                <w:rFonts w:hint="default" w:ascii="Times New Roman" w:hAnsi="Times New Roman" w:eastAsia="宋体" w:cs="Times New Roman"/>
                <w:b w:val="0"/>
                <w:bCs/>
                <w:sz w:val="24"/>
                <w:szCs w:val="24"/>
              </w:rPr>
            </w:pPr>
          </w:p>
        </w:tc>
      </w:tr>
      <w:tr w14:paraId="5F52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71B12C27">
            <w:pPr>
              <w:widowControl/>
              <w:wordWrap/>
              <w:ind w:left="0" w:leftChars="0" w:right="0" w:rightChars="0" w:firstLine="0" w:firstLineChars="0"/>
              <w:jc w:val="center"/>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eastAsia="黑体" w:cs="Times New Roman"/>
                <w:b w:val="0"/>
                <w:bCs/>
                <w:sz w:val="24"/>
                <w:szCs w:val="24"/>
                <w:lang w:val="en-US" w:eastAsia="zh-CN"/>
              </w:rPr>
              <w:t>基础情况</w:t>
            </w:r>
          </w:p>
        </w:tc>
      </w:tr>
      <w:tr w14:paraId="44F3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2C092DDF">
            <w:pPr>
              <w:ind w:left="0" w:leftChars="0" w:right="0" w:rightChars="0" w:firstLine="0" w:firstLineChars="0"/>
              <w:jc w:val="center"/>
              <w:rPr>
                <w:rFonts w:hint="default" w:ascii="Times New Roman" w:hAnsi="Times New Roman" w:cs="Times New Roman"/>
                <w:b/>
                <w:sz w:val="24"/>
                <w:szCs w:val="24"/>
                <w:lang w:eastAsia="zh-CN"/>
              </w:rPr>
            </w:pPr>
            <w:r>
              <w:rPr>
                <w:rFonts w:hint="default" w:ascii="Times New Roman" w:hAnsi="Times New Roman" w:eastAsia="黑体" w:cs="Times New Roman"/>
                <w:color w:val="000000"/>
                <w:kern w:val="0"/>
                <w:sz w:val="24"/>
                <w:szCs w:val="28"/>
                <w:lang w:eastAsia="zh-CN"/>
              </w:rPr>
              <w:t>集聚区概况</w:t>
            </w:r>
          </w:p>
        </w:tc>
        <w:tc>
          <w:tcPr>
            <w:tcW w:w="7153" w:type="dxa"/>
            <w:gridSpan w:val="3"/>
            <w:noWrap w:val="0"/>
            <w:vAlign w:val="center"/>
          </w:tcPr>
          <w:p w14:paraId="41C20B7D">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50C0FF5D">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6D8F1D71">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6AEC4072">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31EA5F22">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0324A0DF">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eastAsia="仿宋_GB2312" w:cs="Times New Roman"/>
                <w:bCs w:val="0"/>
                <w:color w:val="000000"/>
                <w:kern w:val="0"/>
                <w:sz w:val="21"/>
                <w:szCs w:val="21"/>
                <w:lang w:val="en-US" w:eastAsia="zh-CN"/>
              </w:rPr>
              <w:t>精炼表达，写出特色，不超过</w:t>
            </w:r>
            <w:r>
              <w:rPr>
                <w:rFonts w:hint="default" w:ascii="Times New Roman" w:hAnsi="Times New Roman" w:eastAsia="仿宋_GB2312" w:cs="Times New Roman"/>
                <w:bCs w:val="0"/>
                <w:color w:val="000000"/>
                <w:kern w:val="0"/>
                <w:sz w:val="21"/>
                <w:szCs w:val="21"/>
                <w:lang w:val="en" w:eastAsia="zh-CN"/>
              </w:rPr>
              <w:t>1</w:t>
            </w:r>
            <w:r>
              <w:rPr>
                <w:rFonts w:hint="default" w:ascii="Times New Roman" w:hAnsi="Times New Roman" w:eastAsia="仿宋_GB2312" w:cs="Times New Roman"/>
                <w:bCs w:val="0"/>
                <w:color w:val="000000"/>
                <w:kern w:val="0"/>
                <w:sz w:val="21"/>
                <w:szCs w:val="21"/>
                <w:lang w:val="en-US" w:eastAsia="zh-CN"/>
              </w:rPr>
              <w:t>00字</w:t>
            </w:r>
          </w:p>
        </w:tc>
      </w:tr>
      <w:tr w14:paraId="269F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2367FA73">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基础设施情况</w:t>
            </w:r>
          </w:p>
        </w:tc>
        <w:tc>
          <w:tcPr>
            <w:tcW w:w="7153" w:type="dxa"/>
            <w:gridSpan w:val="3"/>
            <w:noWrap w:val="0"/>
            <w:vAlign w:val="top"/>
          </w:tcPr>
          <w:p w14:paraId="17C1A0D3">
            <w:pPr>
              <w:widowControl/>
              <w:wordWrap w:val="0"/>
              <w:ind w:left="0" w:leftChars="0" w:right="0" w:rightChars="0" w:firstLine="0" w:firstLineChars="0"/>
              <w:jc w:val="left"/>
              <w:rPr>
                <w:rFonts w:hint="default" w:ascii="Times New Roman" w:hAnsi="Times New Roman" w:eastAsia="宋体" w:cs="Times New Roman"/>
                <w:bCs/>
                <w:sz w:val="24"/>
                <w:szCs w:val="24"/>
              </w:rPr>
            </w:pPr>
          </w:p>
          <w:p w14:paraId="3C3C5301">
            <w:pPr>
              <w:widowControl/>
              <w:wordWrap w:val="0"/>
              <w:ind w:left="0" w:leftChars="0" w:right="0" w:rightChars="0" w:firstLine="0" w:firstLineChars="0"/>
              <w:jc w:val="left"/>
              <w:rPr>
                <w:rFonts w:hint="default" w:ascii="Times New Roman" w:hAnsi="Times New Roman" w:eastAsia="宋体" w:cs="Times New Roman"/>
                <w:bCs/>
                <w:sz w:val="24"/>
                <w:szCs w:val="24"/>
              </w:rPr>
            </w:pPr>
          </w:p>
          <w:p w14:paraId="39C2461B">
            <w:pPr>
              <w:widowControl/>
              <w:wordWrap w:val="0"/>
              <w:ind w:left="0" w:leftChars="0" w:right="0" w:rightChars="0" w:firstLine="0" w:firstLineChars="0"/>
              <w:jc w:val="left"/>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 xml:space="preserve">  </w:t>
            </w:r>
          </w:p>
          <w:p w14:paraId="4E35459F">
            <w:pPr>
              <w:widowControl/>
              <w:wordWrap w:val="0"/>
              <w:ind w:left="0" w:leftChars="0" w:right="0" w:rightChars="0" w:firstLine="0" w:firstLineChars="0"/>
              <w:jc w:val="left"/>
              <w:rPr>
                <w:rFonts w:hint="default" w:ascii="Times New Roman" w:hAnsi="Times New Roman" w:cs="Times New Roman"/>
                <w:bCs/>
                <w:sz w:val="24"/>
                <w:szCs w:val="24"/>
                <w:lang w:val="en-US" w:eastAsia="zh-CN"/>
              </w:rPr>
            </w:pPr>
            <w:r>
              <w:rPr>
                <w:rFonts w:hint="default" w:ascii="Times New Roman" w:hAnsi="Times New Roman" w:cs="Times New Roman"/>
                <w:bCs/>
                <w:sz w:val="24"/>
                <w:szCs w:val="24"/>
                <w:lang w:val="en-US" w:eastAsia="zh-CN"/>
              </w:rPr>
              <w:t xml:space="preserve">    </w:t>
            </w:r>
          </w:p>
          <w:p w14:paraId="0020EE75">
            <w:pPr>
              <w:widowControl/>
              <w:wordWrap w:val="0"/>
              <w:ind w:left="0" w:leftChars="0" w:right="0" w:rightChars="0" w:firstLine="0" w:firstLineChars="0"/>
              <w:jc w:val="left"/>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cs="Times New Roman"/>
                <w:bCs/>
                <w:sz w:val="24"/>
                <w:szCs w:val="24"/>
                <w:lang w:val="en-US" w:eastAsia="zh-CN"/>
              </w:rPr>
              <w:t xml:space="preserve">  </w:t>
            </w:r>
            <w:r>
              <w:rPr>
                <w:rFonts w:hint="default" w:ascii="Times New Roman" w:hAnsi="Times New Roman" w:eastAsia="仿宋_GB2312" w:cs="Times New Roman"/>
                <w:bCs w:val="0"/>
                <w:color w:val="000000"/>
                <w:kern w:val="0"/>
                <w:sz w:val="21"/>
                <w:szCs w:val="21"/>
                <w:lang w:val="en-US" w:eastAsia="zh-CN"/>
              </w:rPr>
              <w:t xml:space="preserve"> 简要概括，包括但不限于规划布局、经营面积、四至范围、交通规划、管理机构等情况，不超过200字</w:t>
            </w:r>
          </w:p>
        </w:tc>
      </w:tr>
      <w:tr w14:paraId="7F7A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188EE5C1">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所获荣誉</w:t>
            </w:r>
          </w:p>
        </w:tc>
        <w:tc>
          <w:tcPr>
            <w:tcW w:w="7153" w:type="dxa"/>
            <w:gridSpan w:val="3"/>
            <w:noWrap w:val="0"/>
            <w:vAlign w:val="top"/>
          </w:tcPr>
          <w:p w14:paraId="478A0D03">
            <w:pPr>
              <w:widowControl/>
              <w:wordWrap w:val="0"/>
              <w:ind w:left="0" w:leftChars="0" w:right="0" w:rightChars="0" w:firstLine="0" w:firstLineChars="0"/>
              <w:jc w:val="right"/>
              <w:rPr>
                <w:rFonts w:hint="default" w:ascii="Times New Roman" w:hAnsi="Times New Roman" w:cs="Times New Roman"/>
                <w:bCs/>
                <w:sz w:val="24"/>
                <w:szCs w:val="24"/>
                <w:lang w:val="en-US" w:eastAsia="zh-CN"/>
              </w:rPr>
            </w:pPr>
          </w:p>
          <w:p w14:paraId="59D77F96">
            <w:pPr>
              <w:widowControl/>
              <w:wordWrap w:val="0"/>
              <w:ind w:left="0" w:leftChars="0" w:right="0" w:rightChars="0" w:firstLine="0" w:firstLineChars="0"/>
              <w:jc w:val="right"/>
              <w:rPr>
                <w:rFonts w:hint="default" w:ascii="Times New Roman" w:hAnsi="Times New Roman" w:cs="Times New Roman"/>
                <w:bCs/>
                <w:sz w:val="24"/>
                <w:szCs w:val="24"/>
                <w:lang w:val="en-US" w:eastAsia="zh-CN"/>
              </w:rPr>
            </w:pPr>
          </w:p>
          <w:p w14:paraId="024D2CD4">
            <w:pPr>
              <w:widowControl/>
              <w:wordWrap w:val="0"/>
              <w:ind w:left="0" w:leftChars="0" w:right="0" w:rightChars="0" w:firstLine="0" w:firstLineChars="0"/>
              <w:jc w:val="right"/>
              <w:rPr>
                <w:rFonts w:hint="default" w:ascii="Times New Roman" w:hAnsi="Times New Roman" w:cs="Times New Roman"/>
                <w:bCs/>
                <w:sz w:val="24"/>
                <w:szCs w:val="24"/>
                <w:lang w:val="en-US" w:eastAsia="zh-CN"/>
              </w:rPr>
            </w:pPr>
          </w:p>
          <w:p w14:paraId="364CF688">
            <w:pPr>
              <w:widowControl/>
              <w:wordWrap w:val="0"/>
              <w:ind w:left="0" w:leftChars="0" w:right="0" w:rightChars="0" w:firstLine="0" w:firstLineChars="0"/>
              <w:jc w:val="right"/>
              <w:rPr>
                <w:rFonts w:hint="default" w:ascii="Times New Roman" w:hAnsi="Times New Roman" w:cs="Times New Roman"/>
                <w:bCs/>
                <w:sz w:val="24"/>
                <w:szCs w:val="24"/>
                <w:lang w:val="en-US" w:eastAsia="zh-CN"/>
              </w:rPr>
            </w:pPr>
          </w:p>
          <w:p w14:paraId="4E81AFB5">
            <w:pPr>
              <w:ind w:firstLine="3780" w:firstLineChars="1800"/>
              <w:rPr>
                <w:rFonts w:hint="default" w:ascii="Times New Roman" w:hAnsi="Times New Roman" w:eastAsia="仿宋_GB2312" w:cs="Times New Roman"/>
                <w:bCs w:val="0"/>
                <w:color w:val="000000"/>
                <w:kern w:val="0"/>
                <w:sz w:val="21"/>
                <w:szCs w:val="21"/>
                <w:lang w:val="en-US" w:eastAsia="zh-CN"/>
              </w:rPr>
            </w:pPr>
          </w:p>
          <w:p w14:paraId="602E2343">
            <w:pPr>
              <w:ind w:firstLine="3780" w:firstLineChars="1800"/>
              <w:rPr>
                <w:rFonts w:hint="default" w:ascii="Times New Roman" w:hAnsi="Times New Roman" w:eastAsia="仿宋_GB2312" w:cs="Times New Roman"/>
                <w:bCs w:val="0"/>
                <w:color w:val="000000"/>
                <w:kern w:val="0"/>
                <w:sz w:val="21"/>
                <w:szCs w:val="21"/>
                <w:lang w:val="en-US" w:eastAsia="zh-CN"/>
              </w:rPr>
            </w:pPr>
          </w:p>
          <w:p w14:paraId="31E22CD3">
            <w:pPr>
              <w:ind w:firstLine="3780" w:firstLineChars="1800"/>
              <w:rPr>
                <w:rFonts w:hint="default" w:ascii="Times New Roman" w:hAnsi="Times New Roman" w:cs="Times New Roman"/>
                <w:bCs/>
                <w:sz w:val="24"/>
                <w:szCs w:val="24"/>
                <w:lang w:val="en-US" w:eastAsia="zh-CN"/>
              </w:rPr>
            </w:pPr>
            <w:r>
              <w:rPr>
                <w:rFonts w:hint="default" w:ascii="Times New Roman" w:hAnsi="Times New Roman" w:eastAsia="仿宋_GB2312" w:cs="Times New Roman"/>
                <w:bCs w:val="0"/>
                <w:color w:val="000000"/>
                <w:kern w:val="0"/>
                <w:sz w:val="21"/>
                <w:szCs w:val="21"/>
                <w:lang w:val="en-US" w:eastAsia="zh-CN"/>
              </w:rPr>
              <w:t>国家级、自治区级、市县级等奖励</w:t>
            </w:r>
          </w:p>
        </w:tc>
      </w:tr>
      <w:tr w14:paraId="1E44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401FF8EF">
            <w:pPr>
              <w:widowControl/>
              <w:wordWrap w:val="0"/>
              <w:ind w:left="0" w:leftChars="0" w:right="0" w:rightChars="0" w:firstLine="0" w:firstLineChars="0"/>
              <w:jc w:val="center"/>
              <w:rPr>
                <w:rFonts w:hint="default" w:ascii="Times New Roman" w:hAnsi="Times New Roman" w:cs="Times New Roman"/>
                <w:bCs/>
                <w:sz w:val="24"/>
                <w:szCs w:val="24"/>
                <w:lang w:val="en-US" w:eastAsia="zh-CN"/>
              </w:rPr>
            </w:pPr>
            <w:r>
              <w:rPr>
                <w:rFonts w:hint="default" w:ascii="Times New Roman" w:hAnsi="Times New Roman" w:eastAsia="黑体" w:cs="Times New Roman"/>
                <w:b w:val="0"/>
                <w:bCs/>
                <w:sz w:val="24"/>
                <w:szCs w:val="24"/>
                <w:lang w:val="en-US" w:eastAsia="zh-CN"/>
              </w:rPr>
              <w:t>经营情况</w:t>
            </w:r>
          </w:p>
        </w:tc>
      </w:tr>
      <w:tr w14:paraId="5628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2A78E47D">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营业额、客流量等经营情况</w:t>
            </w:r>
          </w:p>
        </w:tc>
        <w:tc>
          <w:tcPr>
            <w:tcW w:w="7153" w:type="dxa"/>
            <w:gridSpan w:val="3"/>
            <w:noWrap w:val="0"/>
            <w:vAlign w:val="center"/>
          </w:tcPr>
          <w:p w14:paraId="7179AA17">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19B222EF">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eastAsia="仿宋_GB2312" w:cs="Times New Roman"/>
                <w:bCs w:val="0"/>
                <w:color w:val="000000"/>
                <w:kern w:val="0"/>
                <w:sz w:val="21"/>
                <w:szCs w:val="21"/>
                <w:lang w:val="en-US" w:eastAsia="zh-CN"/>
              </w:rPr>
              <w:t>此栏无需填写，另附页填写附表《夜间消费集聚区经营基本信息表》即可</w:t>
            </w:r>
          </w:p>
        </w:tc>
      </w:tr>
      <w:tr w14:paraId="1C34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0D4E265F">
            <w:pPr>
              <w:ind w:left="0" w:leftChars="0" w:right="0" w:rightChars="0" w:firstLine="0" w:firstLineChars="0"/>
              <w:jc w:val="center"/>
              <w:rPr>
                <w:rFonts w:hint="default" w:ascii="Times New Roman" w:hAnsi="Times New Roman" w:cs="Times New Roman"/>
                <w:b/>
                <w:sz w:val="24"/>
                <w:szCs w:val="24"/>
                <w:lang w:eastAsia="zh-CN"/>
              </w:rPr>
            </w:pPr>
            <w:r>
              <w:rPr>
                <w:rFonts w:hint="default" w:ascii="Times New Roman" w:hAnsi="Times New Roman" w:eastAsia="黑体" w:cs="Times New Roman"/>
                <w:color w:val="000000"/>
                <w:kern w:val="0"/>
                <w:sz w:val="24"/>
                <w:szCs w:val="28"/>
                <w:lang w:eastAsia="zh-CN"/>
              </w:rPr>
              <w:t>主要消费业态</w:t>
            </w:r>
          </w:p>
        </w:tc>
        <w:tc>
          <w:tcPr>
            <w:tcW w:w="7153" w:type="dxa"/>
            <w:gridSpan w:val="3"/>
            <w:noWrap w:val="0"/>
            <w:vAlign w:val="center"/>
          </w:tcPr>
          <w:p w14:paraId="5966D1CE">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5D6E1F59">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763A0A70">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1B272549">
            <w:pPr>
              <w:widowControl/>
              <w:wordWrap/>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342F821E">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6FDDCA62">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p>
          <w:p w14:paraId="35222087">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eastAsia="仿宋_GB2312" w:cs="Times New Roman"/>
                <w:bCs w:val="0"/>
                <w:color w:val="000000"/>
                <w:kern w:val="0"/>
                <w:sz w:val="21"/>
                <w:szCs w:val="21"/>
                <w:lang w:val="en-US" w:eastAsia="zh-CN"/>
              </w:rPr>
              <w:t>精炼表达，不超过100字简介</w:t>
            </w:r>
          </w:p>
        </w:tc>
      </w:tr>
      <w:tr w14:paraId="5D90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4998A1AA">
            <w:pPr>
              <w:ind w:left="0" w:leftChars="0" w:right="0" w:rightChars="0" w:firstLine="0" w:firstLineChars="0"/>
              <w:jc w:val="center"/>
              <w:rPr>
                <w:rFonts w:hint="default" w:ascii="Times New Roman" w:hAnsi="Times New Roman" w:cs="Times New Roman"/>
                <w:b/>
                <w:sz w:val="24"/>
                <w:szCs w:val="24"/>
                <w:lang w:eastAsia="zh-CN"/>
              </w:rPr>
            </w:pPr>
            <w:r>
              <w:rPr>
                <w:rFonts w:hint="default" w:ascii="Times New Roman" w:hAnsi="Times New Roman" w:eastAsia="黑体" w:cs="Times New Roman"/>
                <w:color w:val="000000"/>
                <w:kern w:val="0"/>
                <w:sz w:val="24"/>
                <w:szCs w:val="28"/>
              </w:rPr>
              <w:t>主要入驻品牌</w:t>
            </w:r>
          </w:p>
        </w:tc>
        <w:tc>
          <w:tcPr>
            <w:tcW w:w="7153" w:type="dxa"/>
            <w:gridSpan w:val="3"/>
            <w:noWrap w:val="0"/>
            <w:vAlign w:val="center"/>
          </w:tcPr>
          <w:p w14:paraId="7A592094">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1FDC73D2">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414399A8">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018C371F">
            <w:pPr>
              <w:widowControl/>
              <w:wordWrap/>
              <w:ind w:left="0" w:leftChars="0" w:right="0" w:rightChars="0" w:firstLine="0" w:firstLineChars="0"/>
              <w:jc w:val="right"/>
              <w:rPr>
                <w:rFonts w:hint="default" w:ascii="Times New Roman" w:hAnsi="Times New Roman" w:eastAsia="仿宋_GB2312" w:cs="Times New Roman"/>
                <w:color w:val="000000"/>
                <w:kern w:val="0"/>
                <w:szCs w:val="21"/>
              </w:rPr>
            </w:pPr>
          </w:p>
          <w:p w14:paraId="38925B2E">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773D4CED">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26B51FD1">
            <w:pPr>
              <w:widowControl/>
              <w:wordWrap w:val="0"/>
              <w:ind w:left="0" w:leftChars="0" w:right="0" w:rightChars="0" w:firstLine="0" w:firstLineChars="0"/>
              <w:jc w:val="right"/>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eastAsia="仿宋_GB2312" w:cs="Times New Roman"/>
                <w:color w:val="000000"/>
                <w:kern w:val="0"/>
                <w:szCs w:val="21"/>
              </w:rPr>
              <w:t>填写最具代表性的国际、国内品牌，不超过</w:t>
            </w:r>
            <w:r>
              <w:rPr>
                <w:rFonts w:hint="default" w:ascii="Times New Roman" w:hAnsi="Times New Roman" w:eastAsia="仿宋_GB2312" w:cs="Times New Roman"/>
                <w:color w:val="000000"/>
                <w:kern w:val="0"/>
                <w:szCs w:val="21"/>
                <w:lang w:val="en-US" w:eastAsia="zh-CN"/>
              </w:rPr>
              <w:t>30</w:t>
            </w:r>
            <w:r>
              <w:rPr>
                <w:rFonts w:hint="default" w:ascii="Times New Roman" w:hAnsi="Times New Roman" w:eastAsia="仿宋_GB2312" w:cs="Times New Roman"/>
                <w:color w:val="000000"/>
                <w:kern w:val="0"/>
                <w:szCs w:val="21"/>
              </w:rPr>
              <w:t>个</w:t>
            </w:r>
          </w:p>
        </w:tc>
      </w:tr>
      <w:tr w14:paraId="6EDE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6362EEDA">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特色资源</w:t>
            </w:r>
          </w:p>
        </w:tc>
        <w:tc>
          <w:tcPr>
            <w:tcW w:w="7153" w:type="dxa"/>
            <w:gridSpan w:val="3"/>
            <w:noWrap w:val="0"/>
            <w:vAlign w:val="center"/>
          </w:tcPr>
          <w:p w14:paraId="097DA3BA">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018B98E9">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3EBFB9FE">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692B586B">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0CB24D86">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37D8FCE4">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如具有获得中华老字号、</w:t>
            </w:r>
            <w:r>
              <w:rPr>
                <w:rFonts w:hint="default" w:ascii="Times New Roman" w:hAnsi="Times New Roman" w:eastAsia="仿宋_GB2312" w:cs="Times New Roman"/>
                <w:color w:val="000000"/>
                <w:kern w:val="0"/>
                <w:szCs w:val="21"/>
                <w:lang w:eastAsia="zh-CN"/>
              </w:rPr>
              <w:t>广西老字号、</w:t>
            </w:r>
            <w:r>
              <w:rPr>
                <w:rFonts w:hint="default" w:ascii="Times New Roman" w:hAnsi="Times New Roman" w:eastAsia="仿宋_GB2312" w:cs="Times New Roman"/>
                <w:color w:val="000000"/>
                <w:kern w:val="0"/>
                <w:szCs w:val="21"/>
              </w:rPr>
              <w:t>非物质文化遗产项目、</w:t>
            </w:r>
            <w:r>
              <w:rPr>
                <w:rFonts w:hint="default" w:ascii="Times New Roman" w:hAnsi="Times New Roman" w:eastAsia="仿宋_GB2312" w:cs="Times New Roman"/>
                <w:color w:val="000000"/>
                <w:kern w:val="0"/>
                <w:szCs w:val="21"/>
                <w:lang w:eastAsia="zh-CN"/>
              </w:rPr>
              <w:t>艺术馆、博物馆等</w:t>
            </w:r>
            <w:r>
              <w:rPr>
                <w:rFonts w:hint="default" w:ascii="Times New Roman" w:hAnsi="Times New Roman" w:eastAsia="仿宋_GB2312" w:cs="Times New Roman"/>
                <w:color w:val="000000"/>
                <w:kern w:val="0"/>
                <w:szCs w:val="21"/>
              </w:rPr>
              <w:t>商户</w:t>
            </w:r>
            <w:r>
              <w:rPr>
                <w:rFonts w:hint="default" w:ascii="Times New Roman" w:hAnsi="Times New Roman" w:eastAsia="仿宋_GB2312" w:cs="Times New Roman"/>
                <w:color w:val="000000"/>
                <w:kern w:val="0"/>
                <w:szCs w:val="21"/>
                <w:lang w:eastAsia="zh-CN"/>
              </w:rPr>
              <w:t>，不超过</w:t>
            </w:r>
            <w:r>
              <w:rPr>
                <w:rFonts w:hint="default" w:ascii="Times New Roman" w:hAnsi="Times New Roman" w:eastAsia="仿宋_GB2312" w:cs="Times New Roman"/>
                <w:color w:val="000000"/>
                <w:kern w:val="0"/>
                <w:szCs w:val="21"/>
                <w:lang w:val="en-US" w:eastAsia="zh-CN"/>
              </w:rPr>
              <w:t>200字</w:t>
            </w:r>
          </w:p>
        </w:tc>
      </w:tr>
      <w:tr w14:paraId="7960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55BAF09E">
            <w:pPr>
              <w:ind w:left="0" w:leftChars="0" w:right="0" w:rightChars="0" w:firstLine="0" w:firstLineChars="0"/>
              <w:jc w:val="center"/>
              <w:rPr>
                <w:rFonts w:hint="default" w:ascii="Times New Roman" w:hAnsi="Times New Roman" w:eastAsia="黑体" w:cs="Times New Roman"/>
                <w:color w:val="000000"/>
                <w:kern w:val="0"/>
                <w:sz w:val="24"/>
                <w:szCs w:val="28"/>
              </w:rPr>
            </w:pPr>
            <w:r>
              <w:rPr>
                <w:rFonts w:hint="default" w:ascii="Times New Roman" w:hAnsi="Times New Roman" w:eastAsia="黑体" w:cs="Times New Roman"/>
                <w:color w:val="000000"/>
                <w:kern w:val="0"/>
                <w:sz w:val="24"/>
                <w:szCs w:val="28"/>
                <w:lang w:eastAsia="zh-CN"/>
              </w:rPr>
              <w:t>集聚</w:t>
            </w:r>
            <w:r>
              <w:rPr>
                <w:rFonts w:hint="default" w:ascii="Times New Roman" w:hAnsi="Times New Roman" w:eastAsia="黑体" w:cs="Times New Roman"/>
                <w:color w:val="000000"/>
                <w:kern w:val="0"/>
                <w:sz w:val="24"/>
                <w:szCs w:val="28"/>
              </w:rPr>
              <w:t>区主要活动</w:t>
            </w:r>
          </w:p>
        </w:tc>
        <w:tc>
          <w:tcPr>
            <w:tcW w:w="7153" w:type="dxa"/>
            <w:gridSpan w:val="3"/>
            <w:noWrap w:val="0"/>
            <w:vAlign w:val="center"/>
          </w:tcPr>
          <w:p w14:paraId="04CEEE4F">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4263F8FD">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0963F098">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0E2BA1F8">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7B78941D">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rPr>
            </w:pPr>
          </w:p>
          <w:p w14:paraId="64153234">
            <w:pPr>
              <w:widowControl/>
              <w:wordWrap w:val="0"/>
              <w:ind w:left="0" w:leftChars="0" w:right="0" w:rightChars="0" w:firstLine="0" w:firstLineChars="0"/>
              <w:jc w:val="righ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只列题目，另附具体说明</w:t>
            </w:r>
            <w:r>
              <w:rPr>
                <w:rFonts w:hint="default" w:ascii="Times New Roman" w:hAnsi="Times New Roman" w:eastAsia="仿宋_GB2312" w:cs="Times New Roman"/>
                <w:color w:val="000000"/>
                <w:kern w:val="0"/>
                <w:szCs w:val="21"/>
                <w:lang w:eastAsia="zh-CN"/>
              </w:rPr>
              <w:t>，不超过</w:t>
            </w:r>
            <w:r>
              <w:rPr>
                <w:rFonts w:hint="default" w:ascii="Times New Roman" w:hAnsi="Times New Roman" w:eastAsia="仿宋_GB2312" w:cs="Times New Roman"/>
                <w:color w:val="000000"/>
                <w:kern w:val="0"/>
                <w:szCs w:val="21"/>
                <w:lang w:val="en-US" w:eastAsia="zh-CN"/>
              </w:rPr>
              <w:t>200字</w:t>
            </w:r>
          </w:p>
        </w:tc>
      </w:tr>
      <w:tr w14:paraId="1CF2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5D016929">
            <w:pPr>
              <w:ind w:left="0" w:leftChars="0" w:right="0" w:rightChars="0" w:firstLine="0" w:firstLineChars="0"/>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eastAsia="zh-CN"/>
              </w:rPr>
              <w:t>智慧化发展情况</w:t>
            </w:r>
          </w:p>
        </w:tc>
      </w:tr>
      <w:tr w14:paraId="54C1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5F9DCBE3">
            <w:pPr>
              <w:widowControl/>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color w:val="000000"/>
                <w:kern w:val="0"/>
                <w:sz w:val="24"/>
                <w:szCs w:val="28"/>
                <w:lang w:val="en"/>
              </w:rPr>
              <w:t>有无统一的信息服务平台</w:t>
            </w:r>
          </w:p>
        </w:tc>
        <w:tc>
          <w:tcPr>
            <w:tcW w:w="7153" w:type="dxa"/>
            <w:gridSpan w:val="3"/>
            <w:noWrap w:val="0"/>
            <w:vAlign w:val="center"/>
          </w:tcPr>
          <w:p w14:paraId="36D44F7A">
            <w:pPr>
              <w:widowControl/>
              <w:jc w:val="center"/>
              <w:rPr>
                <w:rFonts w:hint="default" w:ascii="Times New Roman" w:hAnsi="Times New Roman" w:eastAsia="仿宋_GB2312" w:cs="Times New Roman"/>
              </w:rPr>
            </w:pPr>
            <w:r>
              <w:rPr>
                <w:rFonts w:hint="default" w:ascii="Times New Roman" w:hAnsi="Times New Roman" w:eastAsia="仿宋_GB2312" w:cs="Times New Roman"/>
                <w:b w:val="0"/>
                <w:bCs/>
                <w:sz w:val="20"/>
                <w:szCs w:val="20"/>
                <w:lang w:val="en"/>
              </w:rPr>
              <w:t>（有统一的信息发布、导购促销、重大活动等信息服务平台，包括APP、公众号、小程序等移动应用，如有，列明名称）</w:t>
            </w:r>
          </w:p>
        </w:tc>
      </w:tr>
      <w:tr w14:paraId="7369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15E6E8D2">
            <w:pPr>
              <w:widowControl/>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color w:val="000000"/>
                <w:kern w:val="0"/>
                <w:sz w:val="24"/>
                <w:szCs w:val="28"/>
                <w:lang w:val="en"/>
              </w:rPr>
              <w:t>有无统一的销售监测分析系统</w:t>
            </w:r>
          </w:p>
        </w:tc>
        <w:tc>
          <w:tcPr>
            <w:tcW w:w="7153" w:type="dxa"/>
            <w:gridSpan w:val="3"/>
            <w:noWrap w:val="0"/>
            <w:vAlign w:val="center"/>
          </w:tcPr>
          <w:p w14:paraId="1E88F05F">
            <w:pPr>
              <w:widowControl/>
              <w:jc w:val="center"/>
              <w:rPr>
                <w:rFonts w:hint="default" w:ascii="Times New Roman" w:hAnsi="Times New Roman" w:eastAsia="仿宋_GB2312" w:cs="Times New Roman"/>
              </w:rPr>
            </w:pPr>
            <w:r>
              <w:rPr>
                <w:rFonts w:hint="default" w:ascii="Times New Roman" w:hAnsi="Times New Roman" w:eastAsia="仿宋_GB2312" w:cs="Times New Roman"/>
                <w:b w:val="0"/>
                <w:bCs/>
                <w:sz w:val="20"/>
                <w:szCs w:val="20"/>
                <w:lang w:val="en"/>
              </w:rPr>
              <w:t>（要求覆盖集聚区80%以上商户，如有，说明监测方式和工具）</w:t>
            </w:r>
          </w:p>
        </w:tc>
      </w:tr>
      <w:tr w14:paraId="5A04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6A692B6C">
            <w:pPr>
              <w:widowControl/>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color w:val="000000"/>
                <w:kern w:val="0"/>
                <w:sz w:val="24"/>
                <w:szCs w:val="28"/>
                <w:lang w:val="en"/>
              </w:rPr>
              <w:t>有无统一的</w:t>
            </w:r>
            <w:r>
              <w:rPr>
                <w:rFonts w:hint="default" w:ascii="Times New Roman" w:hAnsi="Times New Roman" w:eastAsia="黑体" w:cs="Times New Roman"/>
                <w:color w:val="000000"/>
                <w:kern w:val="0"/>
                <w:sz w:val="24"/>
                <w:szCs w:val="28"/>
              </w:rPr>
              <w:t>客流</w:t>
            </w:r>
            <w:r>
              <w:rPr>
                <w:rFonts w:hint="default" w:ascii="Times New Roman" w:hAnsi="Times New Roman" w:eastAsia="黑体" w:cs="Times New Roman"/>
                <w:color w:val="000000"/>
                <w:kern w:val="0"/>
                <w:sz w:val="24"/>
                <w:szCs w:val="28"/>
                <w:lang w:val="en"/>
              </w:rPr>
              <w:t>监测</w:t>
            </w:r>
            <w:r>
              <w:rPr>
                <w:rFonts w:hint="default" w:ascii="Times New Roman" w:hAnsi="Times New Roman" w:eastAsia="黑体" w:cs="Times New Roman"/>
                <w:color w:val="000000"/>
                <w:kern w:val="0"/>
                <w:sz w:val="24"/>
                <w:szCs w:val="28"/>
              </w:rPr>
              <w:t>系统</w:t>
            </w:r>
          </w:p>
        </w:tc>
        <w:tc>
          <w:tcPr>
            <w:tcW w:w="7153" w:type="dxa"/>
            <w:gridSpan w:val="3"/>
            <w:noWrap w:val="0"/>
            <w:vAlign w:val="center"/>
          </w:tcPr>
          <w:p w14:paraId="33BBC30A">
            <w:pPr>
              <w:widowControl/>
              <w:jc w:val="center"/>
              <w:rPr>
                <w:rFonts w:hint="default" w:ascii="Times New Roman" w:hAnsi="Times New Roman" w:eastAsia="仿宋_GB2312" w:cs="Times New Roman"/>
              </w:rPr>
            </w:pPr>
            <w:r>
              <w:rPr>
                <w:rFonts w:hint="default" w:ascii="Times New Roman" w:hAnsi="Times New Roman" w:eastAsia="仿宋_GB2312" w:cs="Times New Roman"/>
                <w:b w:val="0"/>
                <w:bCs/>
                <w:sz w:val="20"/>
                <w:szCs w:val="20"/>
                <w:lang w:val="en"/>
              </w:rPr>
              <w:t>（要求覆盖集聚区80%以上商户，如有，说明监测方式和工具）</w:t>
            </w:r>
          </w:p>
        </w:tc>
      </w:tr>
      <w:tr w14:paraId="69FA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015D47F2">
            <w:pPr>
              <w:widowControl/>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color w:val="000000"/>
                <w:kern w:val="0"/>
                <w:sz w:val="24"/>
                <w:szCs w:val="28"/>
                <w:highlight w:val="none"/>
                <w:lang w:val="en"/>
              </w:rPr>
              <w:t>有无提供线上线下融合的多样服务</w:t>
            </w:r>
          </w:p>
        </w:tc>
        <w:tc>
          <w:tcPr>
            <w:tcW w:w="7153" w:type="dxa"/>
            <w:gridSpan w:val="3"/>
            <w:noWrap w:val="0"/>
            <w:vAlign w:val="center"/>
          </w:tcPr>
          <w:p w14:paraId="681B59BD">
            <w:pPr>
              <w:widowControl/>
              <w:jc w:val="center"/>
              <w:rPr>
                <w:rFonts w:hint="default" w:ascii="Times New Roman" w:hAnsi="Times New Roman" w:eastAsia="仿宋_GB2312" w:cs="Times New Roman"/>
              </w:rPr>
            </w:pPr>
            <w:r>
              <w:rPr>
                <w:rFonts w:hint="default" w:ascii="Times New Roman" w:hAnsi="Times New Roman" w:eastAsia="仿宋_GB2312" w:cs="Times New Roman"/>
                <w:b w:val="0"/>
                <w:bCs/>
                <w:sz w:val="21"/>
                <w:szCs w:val="21"/>
                <w:lang w:val="en"/>
              </w:rPr>
              <w:t>（通过自建平台或依托大型互联网平台，实现线上限下融合发展的商户占90%以上，如有，说明实现形式）</w:t>
            </w:r>
          </w:p>
        </w:tc>
      </w:tr>
      <w:tr w14:paraId="0847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28" w:type="dxa"/>
            <w:noWrap w:val="0"/>
            <w:vAlign w:val="center"/>
          </w:tcPr>
          <w:p w14:paraId="589DCBD5">
            <w:pPr>
              <w:widowControl/>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color w:val="000000"/>
                <w:kern w:val="0"/>
                <w:sz w:val="24"/>
                <w:szCs w:val="28"/>
                <w:highlight w:val="none"/>
                <w:lang w:val="en"/>
              </w:rPr>
              <w:t>有无提供精准导购、积分促销、智能停车等服务</w:t>
            </w:r>
          </w:p>
        </w:tc>
        <w:tc>
          <w:tcPr>
            <w:tcW w:w="7153" w:type="dxa"/>
            <w:gridSpan w:val="3"/>
            <w:noWrap w:val="0"/>
            <w:vAlign w:val="center"/>
          </w:tcPr>
          <w:p w14:paraId="2924BF0F">
            <w:pPr>
              <w:widowControl/>
              <w:jc w:val="center"/>
              <w:rPr>
                <w:rFonts w:hint="default" w:ascii="Times New Roman" w:hAnsi="Times New Roman" w:eastAsia="仿宋_GB2312" w:cs="Times New Roman"/>
              </w:rPr>
            </w:pPr>
            <w:r>
              <w:rPr>
                <w:rFonts w:hint="default" w:ascii="Times New Roman" w:hAnsi="Times New Roman" w:eastAsia="仿宋_GB2312" w:cs="Times New Roman"/>
                <w:b w:val="0"/>
                <w:bCs/>
                <w:sz w:val="21"/>
                <w:szCs w:val="21"/>
                <w:lang w:val="en"/>
              </w:rPr>
              <w:t>（如有，说明形式）</w:t>
            </w:r>
          </w:p>
        </w:tc>
      </w:tr>
      <w:tr w14:paraId="26DE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281" w:type="dxa"/>
            <w:gridSpan w:val="4"/>
            <w:shd w:val="clear" w:color="auto" w:fill="D7D7D7"/>
            <w:noWrap w:val="0"/>
            <w:vAlign w:val="center"/>
          </w:tcPr>
          <w:p w14:paraId="6EAD2239">
            <w:pPr>
              <w:widowControl/>
              <w:wordWrap/>
              <w:ind w:left="0" w:leftChars="0" w:right="0" w:rightChars="0" w:firstLine="0" w:firstLineChars="0"/>
              <w:jc w:val="center"/>
              <w:rPr>
                <w:rFonts w:hint="default" w:ascii="Times New Roman" w:hAnsi="Times New Roman" w:eastAsia="仿宋_GB2312" w:cs="Times New Roman"/>
                <w:color w:val="000000"/>
                <w:kern w:val="0"/>
                <w:szCs w:val="21"/>
                <w:lang w:eastAsia="zh-CN"/>
              </w:rPr>
            </w:pPr>
            <w:r>
              <w:rPr>
                <w:rFonts w:hint="default" w:ascii="Times New Roman" w:hAnsi="Times New Roman" w:eastAsia="黑体" w:cs="Times New Roman"/>
                <w:b w:val="0"/>
                <w:bCs/>
                <w:sz w:val="24"/>
                <w:szCs w:val="24"/>
                <w:lang w:val="en-US" w:eastAsia="zh-CN"/>
              </w:rPr>
              <w:t>管理情况</w:t>
            </w:r>
          </w:p>
        </w:tc>
      </w:tr>
      <w:tr w14:paraId="40C2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28" w:type="dxa"/>
            <w:noWrap w:val="0"/>
            <w:vAlign w:val="center"/>
          </w:tcPr>
          <w:p w14:paraId="6C8811A4">
            <w:pPr>
              <w:ind w:left="0" w:leftChars="0" w:right="0" w:rightChars="0" w:firstLine="0" w:firstLineChars="0"/>
              <w:jc w:val="center"/>
              <w:rPr>
                <w:rFonts w:hint="default" w:ascii="Times New Roman" w:hAnsi="Times New Roman" w:eastAsia="宋体" w:cs="Times New Roman"/>
                <w:b/>
                <w:sz w:val="24"/>
                <w:szCs w:val="24"/>
                <w:lang w:eastAsia="zh-CN"/>
              </w:rPr>
            </w:pPr>
            <w:r>
              <w:rPr>
                <w:rFonts w:hint="default" w:ascii="Times New Roman" w:hAnsi="Times New Roman" w:eastAsia="黑体" w:cs="Times New Roman"/>
                <w:color w:val="000000"/>
                <w:kern w:val="0"/>
                <w:sz w:val="24"/>
                <w:szCs w:val="28"/>
                <w:lang w:eastAsia="zh-CN"/>
              </w:rPr>
              <w:t>公共服务情况</w:t>
            </w:r>
          </w:p>
        </w:tc>
        <w:tc>
          <w:tcPr>
            <w:tcW w:w="7153" w:type="dxa"/>
            <w:gridSpan w:val="3"/>
            <w:noWrap w:val="0"/>
            <w:vAlign w:val="top"/>
          </w:tcPr>
          <w:p w14:paraId="757D9737">
            <w:pPr>
              <w:ind w:left="0" w:leftChars="0" w:right="0" w:rightChars="0" w:firstLine="0" w:firstLineChars="0"/>
              <w:jc w:val="left"/>
              <w:rPr>
                <w:rFonts w:hint="default" w:ascii="Times New Roman" w:hAnsi="Times New Roman" w:eastAsia="宋体" w:cs="Times New Roman"/>
                <w:bCs/>
                <w:sz w:val="24"/>
                <w:szCs w:val="24"/>
              </w:rPr>
            </w:pPr>
          </w:p>
          <w:p w14:paraId="494AEB1C">
            <w:pPr>
              <w:ind w:left="0" w:leftChars="0" w:right="0" w:rightChars="0" w:firstLine="0" w:firstLineChars="0"/>
              <w:jc w:val="left"/>
              <w:rPr>
                <w:rFonts w:hint="default" w:ascii="Times New Roman" w:hAnsi="Times New Roman" w:eastAsia="宋体" w:cs="Times New Roman"/>
                <w:bCs/>
                <w:sz w:val="24"/>
                <w:szCs w:val="24"/>
              </w:rPr>
            </w:pPr>
          </w:p>
          <w:p w14:paraId="60552564">
            <w:pPr>
              <w:ind w:left="0" w:leftChars="0" w:right="0" w:rightChars="0" w:firstLine="0" w:firstLineChars="0"/>
              <w:jc w:val="left"/>
              <w:rPr>
                <w:rFonts w:hint="default" w:ascii="Times New Roman" w:hAnsi="Times New Roman" w:eastAsia="宋体" w:cs="Times New Roman"/>
                <w:bCs/>
                <w:sz w:val="24"/>
                <w:szCs w:val="24"/>
              </w:rPr>
            </w:pPr>
          </w:p>
          <w:p w14:paraId="3A2A0459">
            <w:pPr>
              <w:ind w:left="0" w:leftChars="0" w:right="0" w:rightChars="0" w:firstLine="0" w:firstLineChars="0"/>
              <w:jc w:val="left"/>
              <w:rPr>
                <w:rFonts w:hint="default" w:ascii="Times New Roman" w:hAnsi="Times New Roman" w:eastAsia="宋体" w:cs="Times New Roman"/>
                <w:bCs/>
                <w:sz w:val="24"/>
                <w:szCs w:val="24"/>
              </w:rPr>
            </w:pPr>
          </w:p>
          <w:p w14:paraId="6D9E4CF8">
            <w:pPr>
              <w:ind w:left="0" w:leftChars="0" w:right="0" w:rightChars="0" w:firstLine="0" w:firstLineChars="0"/>
              <w:jc w:val="left"/>
              <w:rPr>
                <w:rFonts w:hint="default" w:ascii="Times New Roman" w:hAnsi="Times New Roman" w:eastAsia="宋体" w:cs="Times New Roman"/>
                <w:bCs/>
                <w:sz w:val="24"/>
                <w:szCs w:val="24"/>
              </w:rPr>
            </w:pPr>
          </w:p>
          <w:p w14:paraId="1DD2FDD7">
            <w:pPr>
              <w:ind w:left="0" w:leftChars="0" w:right="0" w:rightChars="0" w:firstLine="0" w:firstLineChars="0"/>
              <w:jc w:val="left"/>
              <w:rPr>
                <w:rFonts w:hint="default" w:ascii="Times New Roman" w:hAnsi="Times New Roman" w:eastAsia="宋体" w:cs="Times New Roman"/>
                <w:bCs/>
                <w:sz w:val="24"/>
                <w:szCs w:val="24"/>
              </w:rPr>
            </w:pPr>
          </w:p>
          <w:p w14:paraId="39811306">
            <w:pPr>
              <w:ind w:left="0" w:leftChars="0" w:right="0" w:rightChars="0" w:firstLine="0" w:firstLineChars="0"/>
              <w:jc w:val="left"/>
              <w:rPr>
                <w:rFonts w:hint="default" w:ascii="Times New Roman" w:hAnsi="Times New Roman" w:eastAsia="宋体" w:cs="Times New Roman"/>
                <w:bCs/>
                <w:sz w:val="24"/>
                <w:szCs w:val="24"/>
              </w:rPr>
            </w:pPr>
            <w:r>
              <w:rPr>
                <w:rFonts w:hint="default" w:ascii="Times New Roman" w:hAnsi="Times New Roman" w:eastAsia="仿宋_GB2312" w:cs="Times New Roman"/>
                <w:bCs w:val="0"/>
                <w:color w:val="000000"/>
                <w:kern w:val="0"/>
                <w:sz w:val="21"/>
                <w:szCs w:val="21"/>
                <w:lang w:val="en-US" w:eastAsia="zh-CN"/>
              </w:rPr>
              <w:t xml:space="preserve">   包括但不限于公共停车场、公共厕所、垃圾收集和分类处理设施等方便顾客的配套设施情况；集聚区夜间社会治安、照明、卫生、交通、移动通信情况；户外灯光、广告投放情况，不超过200字。 </w:t>
            </w:r>
          </w:p>
        </w:tc>
      </w:tr>
      <w:tr w14:paraId="4984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28" w:type="dxa"/>
            <w:noWrap w:val="0"/>
            <w:vAlign w:val="center"/>
          </w:tcPr>
          <w:p w14:paraId="26D2AFAA">
            <w:pPr>
              <w:ind w:left="0" w:leftChars="0" w:right="0" w:rightChars="0" w:firstLine="0" w:firstLineChars="0"/>
              <w:jc w:val="center"/>
              <w:rPr>
                <w:rFonts w:hint="default" w:ascii="Times New Roman" w:hAnsi="Times New Roman" w:eastAsia="宋体" w:cs="Times New Roman"/>
                <w:b/>
                <w:sz w:val="24"/>
                <w:szCs w:val="24"/>
                <w:lang w:eastAsia="zh-CN"/>
              </w:rPr>
            </w:pPr>
            <w:r>
              <w:rPr>
                <w:rFonts w:hint="default" w:ascii="Times New Roman" w:hAnsi="Times New Roman" w:eastAsia="黑体" w:cs="Times New Roman"/>
                <w:color w:val="000000"/>
                <w:kern w:val="0"/>
                <w:sz w:val="24"/>
                <w:szCs w:val="28"/>
                <w:lang w:eastAsia="zh-CN"/>
              </w:rPr>
              <w:t>市场秩序情况</w:t>
            </w:r>
          </w:p>
        </w:tc>
        <w:tc>
          <w:tcPr>
            <w:tcW w:w="7153" w:type="dxa"/>
            <w:gridSpan w:val="3"/>
            <w:noWrap w:val="0"/>
            <w:vAlign w:val="top"/>
          </w:tcPr>
          <w:p w14:paraId="2BAD47AB">
            <w:pPr>
              <w:ind w:left="0" w:leftChars="0" w:right="0" w:rightChars="0" w:firstLine="0" w:firstLineChars="0"/>
              <w:jc w:val="left"/>
              <w:rPr>
                <w:rFonts w:hint="default" w:ascii="Times New Roman" w:hAnsi="Times New Roman" w:eastAsia="宋体" w:cs="Times New Roman"/>
                <w:bCs/>
                <w:sz w:val="24"/>
                <w:szCs w:val="24"/>
              </w:rPr>
            </w:pPr>
          </w:p>
          <w:p w14:paraId="2AAA5D13">
            <w:pPr>
              <w:ind w:left="0" w:leftChars="0" w:right="0" w:rightChars="0" w:firstLine="0" w:firstLineChars="0"/>
              <w:jc w:val="left"/>
              <w:rPr>
                <w:rFonts w:hint="default" w:ascii="Times New Roman" w:hAnsi="Times New Roman" w:eastAsia="宋体" w:cs="Times New Roman"/>
                <w:bCs/>
                <w:sz w:val="24"/>
                <w:szCs w:val="24"/>
              </w:rPr>
            </w:pPr>
          </w:p>
          <w:p w14:paraId="7A346492">
            <w:pPr>
              <w:ind w:left="0" w:leftChars="0" w:right="0" w:rightChars="0" w:firstLine="0" w:firstLineChars="0"/>
              <w:jc w:val="left"/>
              <w:rPr>
                <w:rFonts w:hint="default" w:ascii="Times New Roman" w:hAnsi="Times New Roman" w:eastAsia="宋体" w:cs="Times New Roman"/>
                <w:bCs/>
                <w:sz w:val="24"/>
                <w:szCs w:val="24"/>
              </w:rPr>
            </w:pPr>
          </w:p>
          <w:p w14:paraId="45A575BE">
            <w:pPr>
              <w:ind w:left="0" w:leftChars="0" w:right="0" w:rightChars="0" w:firstLine="0" w:firstLineChars="0"/>
              <w:jc w:val="left"/>
              <w:rPr>
                <w:rFonts w:hint="default" w:ascii="Times New Roman" w:hAnsi="Times New Roman" w:eastAsia="宋体" w:cs="Times New Roman"/>
                <w:bCs/>
                <w:sz w:val="24"/>
                <w:szCs w:val="24"/>
              </w:rPr>
            </w:pPr>
          </w:p>
          <w:p w14:paraId="42B4141B">
            <w:pPr>
              <w:ind w:left="0" w:leftChars="0" w:right="0" w:rightChars="0" w:firstLine="0" w:firstLineChars="0"/>
              <w:jc w:val="left"/>
              <w:rPr>
                <w:rFonts w:hint="default" w:ascii="Times New Roman" w:hAnsi="Times New Roman" w:eastAsia="仿宋_GB2312" w:cs="Times New Roman"/>
                <w:bCs w:val="0"/>
                <w:color w:val="000000"/>
                <w:kern w:val="0"/>
                <w:sz w:val="21"/>
                <w:szCs w:val="21"/>
              </w:rPr>
            </w:pPr>
          </w:p>
          <w:p w14:paraId="2FFEB752">
            <w:pPr>
              <w:ind w:left="0" w:leftChars="0" w:right="0" w:rightChars="0" w:firstLine="0" w:firstLineChars="0"/>
              <w:jc w:val="left"/>
              <w:rPr>
                <w:rFonts w:hint="default" w:ascii="Times New Roman" w:hAnsi="Times New Roman" w:eastAsia="仿宋_GB2312" w:cs="Times New Roman"/>
                <w:bCs w:val="0"/>
                <w:color w:val="000000"/>
                <w:kern w:val="0"/>
                <w:sz w:val="21"/>
                <w:szCs w:val="21"/>
              </w:rPr>
            </w:pPr>
          </w:p>
          <w:p w14:paraId="28E08C4B">
            <w:pPr>
              <w:ind w:left="0" w:leftChars="0" w:right="0" w:rightChars="0" w:firstLine="0" w:firstLineChars="0"/>
              <w:jc w:val="left"/>
              <w:rPr>
                <w:rFonts w:hint="default" w:ascii="Times New Roman" w:hAnsi="Times New Roman" w:eastAsia="仿宋_GB2312" w:cs="Times New Roman"/>
                <w:bCs w:val="0"/>
                <w:color w:val="000000"/>
                <w:kern w:val="0"/>
                <w:sz w:val="21"/>
                <w:szCs w:val="21"/>
              </w:rPr>
            </w:pPr>
          </w:p>
          <w:p w14:paraId="370EF9B4">
            <w:pPr>
              <w:ind w:left="0" w:leftChars="0" w:right="0" w:rightChars="0" w:firstLine="0" w:firstLineChars="0"/>
              <w:jc w:val="left"/>
              <w:rPr>
                <w:rFonts w:hint="default" w:ascii="Times New Roman" w:hAnsi="Times New Roman" w:eastAsia="仿宋_GB2312" w:cs="Times New Roman"/>
                <w:bCs w:val="0"/>
                <w:color w:val="000000"/>
                <w:kern w:val="0"/>
                <w:sz w:val="21"/>
                <w:szCs w:val="21"/>
              </w:rPr>
            </w:pPr>
          </w:p>
          <w:p w14:paraId="26BDEFB5">
            <w:pPr>
              <w:ind w:left="0" w:leftChars="0" w:right="0" w:rightChars="0" w:firstLine="0" w:firstLineChars="0"/>
              <w:jc w:val="left"/>
              <w:rPr>
                <w:rFonts w:hint="default" w:ascii="Times New Roman" w:hAnsi="Times New Roman" w:eastAsia="宋体" w:cs="Times New Roman"/>
                <w:bCs/>
                <w:sz w:val="24"/>
                <w:szCs w:val="24"/>
              </w:rPr>
            </w:pPr>
            <w:r>
              <w:rPr>
                <w:rFonts w:hint="default" w:ascii="Times New Roman" w:hAnsi="Times New Roman" w:eastAsia="仿宋_GB2312" w:cs="Times New Roman"/>
                <w:bCs w:val="0"/>
                <w:color w:val="000000"/>
                <w:kern w:val="0"/>
                <w:sz w:val="21"/>
                <w:szCs w:val="21"/>
                <w:lang w:val="en-US" w:eastAsia="zh-CN"/>
              </w:rPr>
              <w:t xml:space="preserve">   </w:t>
            </w:r>
            <w:r>
              <w:rPr>
                <w:rFonts w:hint="default" w:ascii="Times New Roman" w:hAnsi="Times New Roman" w:eastAsia="仿宋_GB2312" w:cs="Times New Roman"/>
                <w:bCs w:val="0"/>
                <w:color w:val="000000"/>
                <w:kern w:val="0"/>
                <w:sz w:val="21"/>
                <w:szCs w:val="21"/>
              </w:rPr>
              <w:t>夜间市场秩序</w:t>
            </w:r>
            <w:r>
              <w:rPr>
                <w:rFonts w:hint="default" w:ascii="Times New Roman" w:hAnsi="Times New Roman" w:eastAsia="仿宋_GB2312" w:cs="Times New Roman"/>
                <w:bCs w:val="0"/>
                <w:color w:val="000000"/>
                <w:kern w:val="0"/>
                <w:sz w:val="21"/>
                <w:szCs w:val="21"/>
                <w:lang w:eastAsia="zh-CN"/>
              </w:rPr>
              <w:t>、</w:t>
            </w:r>
            <w:r>
              <w:rPr>
                <w:rFonts w:hint="default" w:ascii="Times New Roman" w:hAnsi="Times New Roman" w:eastAsia="仿宋_GB2312" w:cs="Times New Roman"/>
                <w:bCs w:val="0"/>
                <w:color w:val="000000"/>
                <w:kern w:val="0"/>
                <w:sz w:val="21"/>
                <w:szCs w:val="21"/>
              </w:rPr>
              <w:t>消费环境、健康绿色</w:t>
            </w:r>
            <w:r>
              <w:rPr>
                <w:rFonts w:hint="default" w:ascii="Times New Roman" w:hAnsi="Times New Roman" w:eastAsia="仿宋_GB2312" w:cs="Times New Roman"/>
                <w:bCs w:val="0"/>
                <w:color w:val="000000"/>
                <w:kern w:val="0"/>
                <w:sz w:val="21"/>
                <w:szCs w:val="21"/>
                <w:lang w:eastAsia="zh-CN"/>
              </w:rPr>
              <w:t>、</w:t>
            </w:r>
            <w:r>
              <w:rPr>
                <w:rFonts w:hint="default" w:ascii="Times New Roman" w:hAnsi="Times New Roman" w:eastAsia="仿宋_GB2312" w:cs="Times New Roman"/>
                <w:bCs w:val="0"/>
                <w:color w:val="000000"/>
                <w:kern w:val="0"/>
                <w:sz w:val="21"/>
                <w:szCs w:val="21"/>
              </w:rPr>
              <w:t>消费者夜间消费维权便利</w:t>
            </w:r>
            <w:r>
              <w:rPr>
                <w:rFonts w:hint="default" w:ascii="Times New Roman" w:hAnsi="Times New Roman" w:eastAsia="仿宋_GB2312" w:cs="Times New Roman"/>
                <w:bCs w:val="0"/>
                <w:color w:val="000000"/>
                <w:kern w:val="0"/>
                <w:sz w:val="21"/>
                <w:szCs w:val="21"/>
                <w:lang w:eastAsia="zh-CN"/>
              </w:rPr>
              <w:t>等情况</w:t>
            </w:r>
            <w:r>
              <w:rPr>
                <w:rFonts w:hint="default" w:ascii="Times New Roman" w:hAnsi="Times New Roman" w:eastAsia="仿宋_GB2312" w:cs="Times New Roman"/>
                <w:bCs w:val="0"/>
                <w:color w:val="000000"/>
                <w:kern w:val="0"/>
                <w:sz w:val="21"/>
                <w:szCs w:val="21"/>
              </w:rPr>
              <w:t>。近3年（营业不足3年的自营业之日起）区域范围内文化和旅游企业、项目和设施在内容安全、生产安全、食品安全、生态环境等方面</w:t>
            </w:r>
            <w:r>
              <w:rPr>
                <w:rFonts w:hint="default" w:ascii="Times New Roman" w:hAnsi="Times New Roman" w:eastAsia="仿宋_GB2312" w:cs="Times New Roman"/>
                <w:bCs w:val="0"/>
                <w:color w:val="000000"/>
                <w:kern w:val="0"/>
                <w:sz w:val="21"/>
                <w:szCs w:val="21"/>
                <w:lang w:eastAsia="zh-CN"/>
              </w:rPr>
              <w:t>情况</w:t>
            </w:r>
            <w:r>
              <w:rPr>
                <w:rFonts w:hint="default" w:ascii="Times New Roman" w:hAnsi="Times New Roman" w:eastAsia="仿宋_GB2312" w:cs="Times New Roman"/>
                <w:bCs w:val="0"/>
                <w:color w:val="000000"/>
                <w:kern w:val="0"/>
                <w:sz w:val="21"/>
                <w:szCs w:val="21"/>
                <w:lang w:val="en-US" w:eastAsia="zh-CN"/>
              </w:rPr>
              <w:t>，不超过200字</w:t>
            </w:r>
            <w:r>
              <w:rPr>
                <w:rFonts w:hint="default" w:ascii="Times New Roman" w:hAnsi="Times New Roman" w:eastAsia="仿宋_GB2312" w:cs="Times New Roman"/>
                <w:bCs w:val="0"/>
                <w:color w:val="000000"/>
                <w:kern w:val="0"/>
                <w:sz w:val="21"/>
                <w:szCs w:val="21"/>
              </w:rPr>
              <w:t>。</w:t>
            </w:r>
          </w:p>
        </w:tc>
      </w:tr>
      <w:tr w14:paraId="5B1A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128" w:type="dxa"/>
            <w:noWrap w:val="0"/>
            <w:vAlign w:val="center"/>
          </w:tcPr>
          <w:p w14:paraId="19DCD208">
            <w:pPr>
              <w:ind w:left="0" w:leftChars="0" w:right="0" w:rightChars="0" w:firstLine="0" w:firstLineChars="0"/>
              <w:jc w:val="center"/>
              <w:rPr>
                <w:rFonts w:hint="default" w:ascii="Times New Roman" w:hAnsi="Times New Roman" w:eastAsia="宋体" w:cs="Times New Roman"/>
                <w:b/>
                <w:sz w:val="24"/>
                <w:szCs w:val="24"/>
                <w:lang w:eastAsia="zh-CN"/>
              </w:rPr>
            </w:pPr>
            <w:r>
              <w:rPr>
                <w:rFonts w:hint="default" w:ascii="Times New Roman" w:hAnsi="Times New Roman" w:eastAsia="黑体" w:cs="Times New Roman"/>
                <w:color w:val="000000"/>
                <w:kern w:val="0"/>
                <w:sz w:val="24"/>
                <w:szCs w:val="28"/>
                <w:lang w:eastAsia="zh-CN"/>
              </w:rPr>
              <w:t>政策环境情况</w:t>
            </w:r>
          </w:p>
        </w:tc>
        <w:tc>
          <w:tcPr>
            <w:tcW w:w="7153" w:type="dxa"/>
            <w:gridSpan w:val="3"/>
            <w:noWrap w:val="0"/>
            <w:vAlign w:val="top"/>
          </w:tcPr>
          <w:p w14:paraId="168A22B9">
            <w:pPr>
              <w:ind w:left="0" w:leftChars="0" w:right="0" w:rightChars="0" w:firstLine="0" w:firstLineChars="0"/>
              <w:jc w:val="left"/>
              <w:rPr>
                <w:rFonts w:hint="default" w:ascii="Times New Roman" w:hAnsi="Times New Roman" w:eastAsia="宋体" w:cs="Times New Roman"/>
                <w:bCs/>
                <w:sz w:val="24"/>
                <w:szCs w:val="24"/>
              </w:rPr>
            </w:pPr>
          </w:p>
          <w:p w14:paraId="56162B8D">
            <w:pPr>
              <w:ind w:left="0" w:leftChars="0" w:right="0" w:rightChars="0" w:firstLine="0" w:firstLineChars="0"/>
              <w:jc w:val="left"/>
              <w:rPr>
                <w:rFonts w:hint="default" w:ascii="Times New Roman" w:hAnsi="Times New Roman" w:eastAsia="宋体" w:cs="Times New Roman"/>
                <w:bCs/>
                <w:sz w:val="24"/>
                <w:szCs w:val="24"/>
              </w:rPr>
            </w:pPr>
          </w:p>
          <w:p w14:paraId="0C28CB11">
            <w:pPr>
              <w:ind w:left="0" w:leftChars="0" w:right="0" w:rightChars="0" w:firstLine="0" w:firstLineChars="0"/>
              <w:jc w:val="left"/>
              <w:rPr>
                <w:rFonts w:hint="default" w:ascii="Times New Roman" w:hAnsi="Times New Roman" w:eastAsia="宋体" w:cs="Times New Roman"/>
                <w:bCs/>
                <w:sz w:val="24"/>
                <w:szCs w:val="24"/>
              </w:rPr>
            </w:pPr>
          </w:p>
          <w:p w14:paraId="03260898">
            <w:pPr>
              <w:ind w:left="0" w:leftChars="0" w:right="0" w:rightChars="0" w:firstLine="0" w:firstLineChars="0"/>
              <w:jc w:val="left"/>
              <w:rPr>
                <w:rFonts w:hint="default" w:ascii="Times New Roman" w:hAnsi="Times New Roman" w:eastAsia="宋体" w:cs="Times New Roman"/>
                <w:bCs/>
                <w:sz w:val="24"/>
                <w:szCs w:val="24"/>
              </w:rPr>
            </w:pPr>
          </w:p>
          <w:p w14:paraId="3D6EAA3D">
            <w:pPr>
              <w:ind w:left="0" w:leftChars="0" w:right="0" w:rightChars="0" w:firstLine="0" w:firstLineChars="0"/>
              <w:jc w:val="left"/>
              <w:rPr>
                <w:rFonts w:hint="default" w:ascii="Times New Roman" w:hAnsi="Times New Roman" w:eastAsia="仿宋_GB2312" w:cs="Times New Roman"/>
                <w:bCs w:val="0"/>
                <w:color w:val="000000"/>
                <w:kern w:val="0"/>
                <w:sz w:val="21"/>
                <w:szCs w:val="21"/>
              </w:rPr>
            </w:pPr>
          </w:p>
          <w:p w14:paraId="6B4C7F2F">
            <w:pPr>
              <w:ind w:left="0" w:leftChars="0" w:right="0" w:rightChars="0" w:firstLine="0" w:firstLineChars="0"/>
              <w:jc w:val="left"/>
              <w:rPr>
                <w:rFonts w:hint="default" w:ascii="Times New Roman" w:hAnsi="Times New Roman" w:eastAsia="仿宋_GB2312" w:cs="Times New Roman"/>
                <w:bCs w:val="0"/>
                <w:color w:val="000000"/>
                <w:kern w:val="0"/>
                <w:sz w:val="21"/>
                <w:szCs w:val="21"/>
                <w:lang w:val="en-US" w:eastAsia="zh-CN"/>
              </w:rPr>
            </w:pPr>
            <w:r>
              <w:rPr>
                <w:rFonts w:hint="default" w:ascii="Times New Roman" w:hAnsi="Times New Roman" w:eastAsia="仿宋_GB2312" w:cs="Times New Roman"/>
                <w:bCs w:val="0"/>
                <w:color w:val="000000"/>
                <w:kern w:val="0"/>
                <w:sz w:val="21"/>
                <w:szCs w:val="21"/>
                <w:lang w:val="en-US" w:eastAsia="zh-CN"/>
              </w:rPr>
              <w:t xml:space="preserve">    </w:t>
            </w:r>
          </w:p>
          <w:p w14:paraId="3FBCBEC5">
            <w:pPr>
              <w:ind w:left="0" w:leftChars="0" w:right="0" w:rightChars="0" w:firstLine="0" w:firstLineChars="0"/>
              <w:jc w:val="left"/>
              <w:rPr>
                <w:rFonts w:hint="default" w:ascii="Times New Roman" w:hAnsi="Times New Roman" w:eastAsia="宋体" w:cs="Times New Roman"/>
                <w:bCs/>
                <w:sz w:val="24"/>
                <w:szCs w:val="24"/>
              </w:rPr>
            </w:pPr>
            <w:r>
              <w:rPr>
                <w:rFonts w:hint="default" w:ascii="Times New Roman" w:hAnsi="Times New Roman" w:eastAsia="仿宋_GB2312" w:cs="Times New Roman"/>
                <w:bCs w:val="0"/>
                <w:color w:val="000000"/>
                <w:kern w:val="0"/>
                <w:sz w:val="21"/>
                <w:szCs w:val="21"/>
                <w:lang w:val="en-US" w:eastAsia="zh-CN"/>
              </w:rPr>
              <w:t xml:space="preserve">   </w:t>
            </w:r>
            <w:r>
              <w:rPr>
                <w:rFonts w:hint="default" w:ascii="Times New Roman" w:hAnsi="Times New Roman" w:eastAsia="仿宋_GB2312" w:cs="Times New Roman"/>
                <w:bCs w:val="0"/>
                <w:color w:val="000000"/>
                <w:kern w:val="0"/>
                <w:sz w:val="21"/>
                <w:szCs w:val="21"/>
              </w:rPr>
              <w:t>所在地级市重视发展夜间经济，合理规划夜间消费场所设施空间布局，推进包容审慎监管，营造良好营商环境，引导市场主体创新夜间文化和旅游消费业态</w:t>
            </w:r>
            <w:r>
              <w:rPr>
                <w:rFonts w:hint="default" w:ascii="Times New Roman" w:hAnsi="Times New Roman" w:eastAsia="仿宋_GB2312" w:cs="Times New Roman"/>
                <w:bCs w:val="0"/>
                <w:color w:val="000000"/>
                <w:kern w:val="0"/>
                <w:sz w:val="21"/>
                <w:szCs w:val="21"/>
                <w:lang w:eastAsia="zh-CN"/>
              </w:rPr>
              <w:t>等情况</w:t>
            </w:r>
            <w:r>
              <w:rPr>
                <w:rFonts w:hint="default" w:ascii="Times New Roman" w:hAnsi="Times New Roman" w:eastAsia="仿宋_GB2312" w:cs="Times New Roman"/>
                <w:bCs w:val="0"/>
                <w:color w:val="000000"/>
                <w:kern w:val="0"/>
                <w:sz w:val="21"/>
                <w:szCs w:val="21"/>
              </w:rPr>
              <w:t>。所在地级市对申报对象予以重点扶持，制定实施资金奖补等优惠政策</w:t>
            </w:r>
            <w:r>
              <w:rPr>
                <w:rFonts w:hint="default" w:ascii="Times New Roman" w:hAnsi="Times New Roman" w:eastAsia="仿宋_GB2312" w:cs="Times New Roman"/>
                <w:bCs w:val="0"/>
                <w:color w:val="000000"/>
                <w:kern w:val="0"/>
                <w:sz w:val="21"/>
                <w:szCs w:val="21"/>
                <w:lang w:eastAsia="zh-CN"/>
              </w:rPr>
              <w:t>情况</w:t>
            </w:r>
            <w:r>
              <w:rPr>
                <w:rFonts w:hint="default" w:ascii="Times New Roman" w:hAnsi="Times New Roman" w:eastAsia="仿宋_GB2312" w:cs="Times New Roman"/>
                <w:bCs w:val="0"/>
                <w:color w:val="000000"/>
                <w:kern w:val="0"/>
                <w:sz w:val="21"/>
                <w:szCs w:val="21"/>
                <w:lang w:val="en-US" w:eastAsia="zh-CN"/>
              </w:rPr>
              <w:t>，不超过200字</w:t>
            </w:r>
            <w:r>
              <w:rPr>
                <w:rFonts w:hint="default" w:ascii="Times New Roman" w:hAnsi="Times New Roman" w:eastAsia="仿宋_GB2312" w:cs="Times New Roman"/>
                <w:bCs w:val="0"/>
                <w:color w:val="000000"/>
                <w:kern w:val="0"/>
                <w:sz w:val="21"/>
                <w:szCs w:val="21"/>
              </w:rPr>
              <w:t>。</w:t>
            </w:r>
          </w:p>
        </w:tc>
      </w:tr>
      <w:tr w14:paraId="59C4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281" w:type="dxa"/>
            <w:gridSpan w:val="4"/>
            <w:shd w:val="clear" w:color="auto" w:fill="D7D7D7"/>
            <w:noWrap w:val="0"/>
            <w:vAlign w:val="center"/>
          </w:tcPr>
          <w:p w14:paraId="4DB60BD5">
            <w:pPr>
              <w:widowControl/>
              <w:wordWrap/>
              <w:ind w:left="0" w:leftChars="0" w:right="0" w:righ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黑体" w:cs="Times New Roman"/>
                <w:b w:val="0"/>
                <w:bCs/>
                <w:sz w:val="24"/>
                <w:szCs w:val="24"/>
                <w:lang w:val="en-US" w:eastAsia="zh-CN"/>
              </w:rPr>
              <w:t>培育计划</w:t>
            </w:r>
          </w:p>
        </w:tc>
      </w:tr>
      <w:tr w14:paraId="497B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128" w:type="dxa"/>
            <w:noWrap w:val="0"/>
            <w:vAlign w:val="center"/>
          </w:tcPr>
          <w:p w14:paraId="1645C896">
            <w:pPr>
              <w:widowControl/>
              <w:jc w:val="center"/>
              <w:rPr>
                <w:rFonts w:hint="default" w:ascii="Times New Roman" w:hAnsi="Times New Roman" w:eastAsia="宋体" w:cs="Times New Roman"/>
                <w:b/>
                <w:bCs/>
                <w:sz w:val="24"/>
                <w:szCs w:val="24"/>
                <w:lang w:eastAsia="zh-CN"/>
              </w:rPr>
            </w:pPr>
            <w:r>
              <w:rPr>
                <w:rFonts w:hint="default" w:ascii="Times New Roman" w:hAnsi="Times New Roman" w:eastAsia="黑体" w:cs="Times New Roman"/>
                <w:color w:val="000000"/>
                <w:kern w:val="0"/>
                <w:sz w:val="24"/>
                <w:szCs w:val="28"/>
              </w:rPr>
              <w:t>预期目标</w:t>
            </w:r>
          </w:p>
        </w:tc>
        <w:tc>
          <w:tcPr>
            <w:tcW w:w="7153" w:type="dxa"/>
            <w:gridSpan w:val="3"/>
            <w:noWrap w:val="0"/>
            <w:vAlign w:val="bottom"/>
          </w:tcPr>
          <w:p w14:paraId="7A65BB51">
            <w:pPr>
              <w:widowControl/>
              <w:wordWrap w:val="0"/>
              <w:rPr>
                <w:rFonts w:hint="default" w:ascii="Times New Roman" w:hAnsi="Times New Roman" w:eastAsia="宋体" w:cs="Times New Roman"/>
                <w:bCs/>
                <w:sz w:val="24"/>
                <w:szCs w:val="24"/>
                <w:lang w:val="en-US" w:eastAsia="zh-CN"/>
              </w:rPr>
            </w:pPr>
            <w:r>
              <w:rPr>
                <w:rFonts w:hint="default" w:ascii="Times New Roman" w:hAnsi="Times New Roman" w:eastAsia="仿宋_GB2312" w:cs="Times New Roman"/>
                <w:color w:val="000000"/>
                <w:kern w:val="0"/>
                <w:szCs w:val="21"/>
              </w:rPr>
              <w:t xml:space="preserve">    简要说明要在</w:t>
            </w:r>
            <w:r>
              <w:rPr>
                <w:rFonts w:hint="default" w:ascii="Times New Roman" w:hAnsi="Times New Roman" w:eastAsia="仿宋_GB2312" w:cs="Times New Roman"/>
                <w:color w:val="000000"/>
                <w:kern w:val="0"/>
                <w:szCs w:val="21"/>
                <w:lang w:val="en-US" w:eastAsia="zh-CN"/>
              </w:rPr>
              <w:t>2024</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lang w:val="en-US" w:eastAsia="zh-CN"/>
              </w:rPr>
              <w:t>2026</w:t>
            </w:r>
            <w:r>
              <w:rPr>
                <w:rFonts w:hint="default" w:ascii="Times New Roman" w:hAnsi="Times New Roman" w:eastAsia="仿宋_GB2312" w:cs="Times New Roman"/>
                <w:color w:val="000000"/>
                <w:kern w:val="0"/>
                <w:szCs w:val="21"/>
              </w:rPr>
              <w:t>年</w:t>
            </w:r>
            <w:r>
              <w:rPr>
                <w:rFonts w:hint="default" w:ascii="Times New Roman" w:hAnsi="Times New Roman" w:eastAsia="仿宋_GB2312" w:cs="Times New Roman"/>
                <w:color w:val="000000"/>
                <w:kern w:val="0"/>
                <w:szCs w:val="21"/>
                <w:lang w:eastAsia="zh-CN"/>
              </w:rPr>
              <w:t>预期分阶段</w:t>
            </w:r>
            <w:r>
              <w:rPr>
                <w:rFonts w:hint="default" w:ascii="Times New Roman" w:hAnsi="Times New Roman" w:eastAsia="仿宋_GB2312" w:cs="Times New Roman"/>
                <w:color w:val="000000"/>
                <w:kern w:val="0"/>
                <w:szCs w:val="21"/>
              </w:rPr>
              <w:t>达到的目标。要求能够反映</w:t>
            </w:r>
            <w:r>
              <w:rPr>
                <w:rFonts w:hint="default" w:ascii="Times New Roman" w:hAnsi="Times New Roman" w:eastAsia="仿宋_GB2312" w:cs="Times New Roman"/>
                <w:color w:val="000000"/>
                <w:kern w:val="0"/>
                <w:szCs w:val="21"/>
                <w:lang w:eastAsia="zh-CN"/>
              </w:rPr>
              <w:t>集聚区</w:t>
            </w:r>
            <w:r>
              <w:rPr>
                <w:rFonts w:hint="default" w:ascii="Times New Roman" w:hAnsi="Times New Roman" w:eastAsia="仿宋_GB2312" w:cs="Times New Roman"/>
                <w:color w:val="000000"/>
                <w:kern w:val="0"/>
                <w:szCs w:val="21"/>
              </w:rPr>
              <w:t>的变化，突出</w:t>
            </w:r>
            <w:r>
              <w:rPr>
                <w:rFonts w:hint="default" w:ascii="Times New Roman" w:hAnsi="Times New Roman" w:eastAsia="仿宋_GB2312" w:cs="Times New Roman"/>
                <w:color w:val="000000"/>
                <w:kern w:val="0"/>
                <w:szCs w:val="21"/>
                <w:lang w:eastAsia="zh-CN"/>
              </w:rPr>
              <w:t>集聚区</w:t>
            </w:r>
            <w:r>
              <w:rPr>
                <w:rFonts w:hint="default" w:ascii="Times New Roman" w:hAnsi="Times New Roman" w:eastAsia="仿宋_GB2312" w:cs="Times New Roman"/>
                <w:color w:val="000000"/>
                <w:kern w:val="0"/>
                <w:szCs w:val="21"/>
              </w:rPr>
              <w:t>改造提升的预期成效，以及在推进消费升级等方面的预期贡献</w:t>
            </w:r>
            <w:r>
              <w:rPr>
                <w:rFonts w:hint="default" w:ascii="Times New Roman" w:hAnsi="Times New Roman" w:eastAsia="仿宋_GB2312" w:cs="Times New Roman"/>
                <w:bCs w:val="0"/>
                <w:color w:val="000000"/>
                <w:kern w:val="0"/>
                <w:sz w:val="21"/>
                <w:szCs w:val="21"/>
                <w:lang w:val="en-US" w:eastAsia="zh-CN"/>
              </w:rPr>
              <w:t>，不超过200字</w:t>
            </w:r>
            <w:r>
              <w:rPr>
                <w:rFonts w:hint="default" w:ascii="Times New Roman" w:hAnsi="Times New Roman" w:eastAsia="仿宋_GB2312" w:cs="Times New Roman"/>
                <w:color w:val="000000"/>
                <w:kern w:val="0"/>
                <w:szCs w:val="21"/>
              </w:rPr>
              <w:t>。</w:t>
            </w:r>
          </w:p>
        </w:tc>
      </w:tr>
      <w:tr w14:paraId="459A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128" w:type="dxa"/>
            <w:noWrap w:val="0"/>
            <w:vAlign w:val="center"/>
          </w:tcPr>
          <w:p w14:paraId="703174F3">
            <w:pPr>
              <w:widowControl/>
              <w:jc w:val="center"/>
              <w:rPr>
                <w:rFonts w:hint="default" w:ascii="Times New Roman" w:hAnsi="Times New Roman" w:eastAsia="宋体" w:cs="Times New Roman"/>
                <w:b/>
                <w:bCs/>
                <w:sz w:val="24"/>
                <w:szCs w:val="24"/>
                <w:lang w:eastAsia="zh-CN"/>
              </w:rPr>
            </w:pPr>
            <w:r>
              <w:rPr>
                <w:rFonts w:hint="default" w:ascii="Times New Roman" w:hAnsi="Times New Roman" w:eastAsia="黑体" w:cs="Times New Roman"/>
                <w:color w:val="000000"/>
                <w:kern w:val="0"/>
                <w:sz w:val="24"/>
                <w:szCs w:val="28"/>
              </w:rPr>
              <w:t>主要措施</w:t>
            </w:r>
          </w:p>
        </w:tc>
        <w:tc>
          <w:tcPr>
            <w:tcW w:w="7153" w:type="dxa"/>
            <w:gridSpan w:val="3"/>
            <w:noWrap w:val="0"/>
            <w:vAlign w:val="bottom"/>
          </w:tcPr>
          <w:p w14:paraId="6D7F34DB">
            <w:pPr>
              <w:widowControl/>
              <w:wordWrap w:val="0"/>
              <w:rPr>
                <w:rFonts w:hint="default" w:ascii="Times New Roman" w:hAnsi="Times New Roman" w:eastAsia="宋体" w:cs="Times New Roman"/>
                <w:bCs/>
                <w:sz w:val="24"/>
                <w:szCs w:val="24"/>
                <w:lang w:val="en-US" w:eastAsia="zh-CN"/>
              </w:rPr>
            </w:pPr>
            <w:r>
              <w:rPr>
                <w:rFonts w:hint="default" w:ascii="Times New Roman" w:hAnsi="Times New Roman" w:eastAsia="仿宋_GB2312" w:cs="Times New Roman"/>
                <w:color w:val="000000"/>
                <w:kern w:val="0"/>
                <w:szCs w:val="21"/>
              </w:rPr>
              <w:t xml:space="preserve">   简要描述拟在加强规划引领、优化</w:t>
            </w:r>
            <w:r>
              <w:rPr>
                <w:rFonts w:hint="default" w:ascii="Times New Roman" w:hAnsi="Times New Roman" w:eastAsia="仿宋_GB2312" w:cs="Times New Roman"/>
                <w:color w:val="000000"/>
                <w:kern w:val="0"/>
                <w:szCs w:val="21"/>
                <w:lang w:val="en"/>
              </w:rPr>
              <w:t>集聚区</w:t>
            </w:r>
            <w:r>
              <w:rPr>
                <w:rFonts w:hint="default" w:ascii="Times New Roman" w:hAnsi="Times New Roman" w:eastAsia="仿宋_GB2312" w:cs="Times New Roman"/>
                <w:color w:val="000000"/>
                <w:kern w:val="0"/>
                <w:szCs w:val="21"/>
              </w:rPr>
              <w:t>环境、提高供给质量、彰显城市特色、发挥带动作用等方面采取的措施</w:t>
            </w:r>
            <w:r>
              <w:rPr>
                <w:rFonts w:hint="default" w:ascii="Times New Roman" w:hAnsi="Times New Roman" w:eastAsia="仿宋_GB2312" w:cs="Times New Roman"/>
                <w:bCs w:val="0"/>
                <w:color w:val="000000"/>
                <w:kern w:val="0"/>
                <w:sz w:val="21"/>
                <w:szCs w:val="21"/>
                <w:lang w:val="en-US" w:eastAsia="zh-CN"/>
              </w:rPr>
              <w:t>，不超过200字</w:t>
            </w:r>
            <w:r>
              <w:rPr>
                <w:rFonts w:hint="default" w:ascii="Times New Roman" w:hAnsi="Times New Roman" w:eastAsia="仿宋_GB2312" w:cs="Times New Roman"/>
                <w:color w:val="000000"/>
                <w:kern w:val="0"/>
                <w:szCs w:val="21"/>
              </w:rPr>
              <w:t>。</w:t>
            </w:r>
          </w:p>
        </w:tc>
      </w:tr>
      <w:tr w14:paraId="589E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2128" w:type="dxa"/>
            <w:noWrap w:val="0"/>
            <w:vAlign w:val="center"/>
          </w:tcPr>
          <w:p w14:paraId="669E188C">
            <w:pPr>
              <w:widowControl/>
              <w:jc w:val="center"/>
              <w:rPr>
                <w:rFonts w:hint="default" w:ascii="Times New Roman" w:hAnsi="Times New Roman" w:eastAsia="宋体" w:cs="Times New Roman"/>
                <w:b/>
                <w:bCs/>
                <w:sz w:val="24"/>
                <w:szCs w:val="24"/>
                <w:lang w:eastAsia="zh-CN"/>
              </w:rPr>
            </w:pPr>
            <w:r>
              <w:rPr>
                <w:rFonts w:hint="default" w:ascii="Times New Roman" w:hAnsi="Times New Roman" w:eastAsia="黑体" w:cs="Times New Roman"/>
                <w:color w:val="000000"/>
                <w:kern w:val="0"/>
                <w:sz w:val="24"/>
                <w:szCs w:val="28"/>
              </w:rPr>
              <w:t>工作保障</w:t>
            </w:r>
          </w:p>
        </w:tc>
        <w:tc>
          <w:tcPr>
            <w:tcW w:w="7153" w:type="dxa"/>
            <w:gridSpan w:val="3"/>
            <w:noWrap w:val="0"/>
            <w:vAlign w:val="bottom"/>
          </w:tcPr>
          <w:p w14:paraId="24298577">
            <w:pPr>
              <w:widowControl/>
              <w:wordWrap w:val="0"/>
              <w:ind w:firstLine="420" w:firstLineChars="200"/>
              <w:rPr>
                <w:rFonts w:hint="default" w:ascii="Times New Roman" w:hAnsi="Times New Roman" w:eastAsia="宋体" w:cs="Times New Roman"/>
                <w:bCs/>
                <w:sz w:val="24"/>
                <w:szCs w:val="24"/>
                <w:lang w:val="en-US" w:eastAsia="zh-CN"/>
              </w:rPr>
            </w:pPr>
            <w:r>
              <w:rPr>
                <w:rFonts w:hint="default" w:ascii="Times New Roman" w:hAnsi="Times New Roman" w:eastAsia="仿宋_GB2312" w:cs="Times New Roman"/>
                <w:color w:val="000000"/>
                <w:kern w:val="0"/>
                <w:szCs w:val="21"/>
              </w:rPr>
              <w:t>简要描述拟从健全工作机制、创新管理模式、强化政策支持、加强考核评价、组织宣传交流等方面所采取的措施</w:t>
            </w:r>
            <w:r>
              <w:rPr>
                <w:rFonts w:hint="default" w:ascii="Times New Roman" w:hAnsi="Times New Roman" w:eastAsia="仿宋_GB2312" w:cs="Times New Roman"/>
                <w:bCs w:val="0"/>
                <w:color w:val="000000"/>
                <w:kern w:val="0"/>
                <w:sz w:val="21"/>
                <w:szCs w:val="21"/>
                <w:lang w:val="en-US" w:eastAsia="zh-CN"/>
              </w:rPr>
              <w:t>，不超过200字</w:t>
            </w:r>
            <w:r>
              <w:rPr>
                <w:rFonts w:hint="default" w:ascii="Times New Roman" w:hAnsi="Times New Roman" w:eastAsia="仿宋_GB2312" w:cs="Times New Roman"/>
                <w:color w:val="000000"/>
                <w:kern w:val="0"/>
                <w:szCs w:val="21"/>
              </w:rPr>
              <w:t>。</w:t>
            </w:r>
          </w:p>
        </w:tc>
      </w:tr>
      <w:tr w14:paraId="4078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jc w:val="center"/>
        </w:trPr>
        <w:tc>
          <w:tcPr>
            <w:tcW w:w="2128" w:type="dxa"/>
            <w:noWrap w:val="0"/>
            <w:vAlign w:val="center"/>
          </w:tcPr>
          <w:p w14:paraId="42619501">
            <w:pPr>
              <w:kinsoku/>
              <w:autoSpaceDE/>
              <w:autoSpaceDN w:val="0"/>
              <w:spacing w:before="78" w:beforeLines="0"/>
              <w:ind w:left="0" w:leftChars="0" w:right="0" w:rightChars="0" w:firstLine="0" w:firstLineChars="0"/>
              <w:jc w:val="center"/>
              <w:textAlignment w:val="baseline"/>
              <w:rPr>
                <w:rFonts w:hint="default" w:ascii="Times New Roman" w:hAnsi="Times New Roman" w:eastAsia="黑体" w:cs="Times New Roman"/>
                <w:color w:val="000000"/>
                <w:kern w:val="0"/>
                <w:sz w:val="24"/>
                <w:szCs w:val="28"/>
              </w:rPr>
            </w:pPr>
            <w:r>
              <w:rPr>
                <w:rFonts w:hint="default" w:ascii="Times New Roman" w:hAnsi="Times New Roman" w:eastAsia="黑体" w:cs="Times New Roman"/>
                <w:color w:val="000000"/>
                <w:kern w:val="0"/>
                <w:sz w:val="24"/>
                <w:szCs w:val="28"/>
                <w:lang w:eastAsia="zh-CN"/>
              </w:rPr>
              <w:t>申报承诺</w:t>
            </w:r>
          </w:p>
        </w:tc>
        <w:tc>
          <w:tcPr>
            <w:tcW w:w="7153" w:type="dxa"/>
            <w:gridSpan w:val="3"/>
            <w:noWrap w:val="0"/>
            <w:vAlign w:val="top"/>
          </w:tcPr>
          <w:p w14:paraId="5C46CAD7">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2BB5A16A">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33A80EF4">
            <w:pPr>
              <w:widowControl/>
              <w:wordWrap w:val="0"/>
              <w:ind w:firstLine="480" w:firstLineChars="200"/>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我单位承诺申报材料中所有信息真实可靠，若有失实和造假行为，我单位愿承担一切责任。</w:t>
            </w:r>
          </w:p>
          <w:p w14:paraId="6CAC1539">
            <w:pPr>
              <w:rPr>
                <w:rFonts w:hint="default" w:ascii="Times New Roman" w:hAnsi="Times New Roman" w:cs="Times New Roman"/>
              </w:rPr>
            </w:pPr>
          </w:p>
          <w:p w14:paraId="51B8D20B">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760403CB">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36A6D250">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1BEAFB5F">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0BD5A9BD">
            <w:pPr>
              <w:widowControl/>
              <w:wordWrap w:val="0"/>
              <w:ind w:firstLine="480" w:firstLineChars="200"/>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法人代表或机构负责人（签字）：</w:t>
            </w:r>
          </w:p>
          <w:p w14:paraId="33FB0D64">
            <w:pPr>
              <w:widowControl/>
              <w:wordWrap w:val="0"/>
              <w:ind w:firstLine="480" w:firstLineChars="200"/>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单位（公章）：</w:t>
            </w:r>
          </w:p>
          <w:p w14:paraId="26A9B94A">
            <w:pPr>
              <w:widowControl/>
              <w:wordWrap w:val="0"/>
              <w:ind w:firstLine="480" w:firstLineChars="200"/>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年</w:t>
            </w: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月</w:t>
            </w: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日</w:t>
            </w:r>
          </w:p>
        </w:tc>
      </w:tr>
      <w:tr w14:paraId="1E596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2128" w:type="dxa"/>
            <w:noWrap w:val="0"/>
            <w:vAlign w:val="center"/>
          </w:tcPr>
          <w:p w14:paraId="1D11B4D4">
            <w:pPr>
              <w:ind w:left="0" w:leftChars="0" w:right="0" w:rightChars="0" w:firstLine="0" w:firstLineChars="0"/>
              <w:jc w:val="center"/>
              <w:rPr>
                <w:rFonts w:hint="default" w:ascii="Times New Roman" w:hAnsi="Times New Roman" w:eastAsia="宋体" w:cs="Times New Roman"/>
                <w:b/>
                <w:bCs/>
                <w:sz w:val="24"/>
                <w:szCs w:val="24"/>
                <w:lang w:eastAsia="zh-CN"/>
              </w:rPr>
            </w:pPr>
            <w:r>
              <w:rPr>
                <w:rFonts w:hint="default" w:ascii="Times New Roman" w:hAnsi="Times New Roman" w:eastAsia="黑体" w:cs="Times New Roman"/>
                <w:color w:val="000000"/>
                <w:kern w:val="0"/>
                <w:sz w:val="24"/>
                <w:szCs w:val="28"/>
                <w:lang w:eastAsia="zh-CN"/>
              </w:rPr>
              <w:t>所在地县（市、区）商务、文化和旅游、体育行政主管部门意见</w:t>
            </w:r>
          </w:p>
        </w:tc>
        <w:tc>
          <w:tcPr>
            <w:tcW w:w="7153" w:type="dxa"/>
            <w:gridSpan w:val="3"/>
            <w:noWrap w:val="0"/>
            <w:vAlign w:val="center"/>
          </w:tcPr>
          <w:p w14:paraId="30E289EA">
            <w:pPr>
              <w:widowControl/>
              <w:wordWrap w:val="0"/>
              <w:ind w:left="0" w:leftChars="0" w:right="0" w:rightChars="0" w:firstLine="480" w:firstLineChars="200"/>
              <w:jc w:val="right"/>
              <w:rPr>
                <w:rFonts w:hint="default" w:ascii="Times New Roman" w:hAnsi="Times New Roman" w:eastAsia="仿宋_GB2312" w:cs="Times New Roman"/>
                <w:sz w:val="24"/>
                <w:lang w:eastAsia="zh-CN"/>
              </w:rPr>
            </w:pPr>
          </w:p>
          <w:p w14:paraId="76F62A5A">
            <w:pPr>
              <w:widowControl/>
              <w:wordWrap/>
              <w:ind w:firstLine="480" w:firstLineChars="200"/>
              <w:jc w:val="lef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同意推荐申报。    </w:t>
            </w:r>
          </w:p>
          <w:p w14:paraId="5AB75B8E">
            <w:pPr>
              <w:widowControl/>
              <w:wordWrap w:val="0"/>
              <w:ind w:firstLine="480" w:firstLineChars="200"/>
              <w:jc w:val="right"/>
              <w:rPr>
                <w:rFonts w:hint="default" w:ascii="Times New Roman" w:hAnsi="Times New Roman" w:eastAsia="仿宋_GB2312" w:cs="Times New Roman"/>
                <w:sz w:val="24"/>
                <w:lang w:val="en-US" w:eastAsia="zh-CN"/>
              </w:rPr>
            </w:pPr>
          </w:p>
          <w:p w14:paraId="26E41386">
            <w:pPr>
              <w:rPr>
                <w:rFonts w:hint="default" w:ascii="Times New Roman" w:hAnsi="Times New Roman" w:cs="Times New Roman"/>
              </w:rPr>
            </w:pPr>
            <w:r>
              <w:rPr>
                <w:rFonts w:hint="default" w:ascii="Times New Roman" w:hAnsi="Times New Roman" w:eastAsia="仿宋_GB2312" w:cs="Times New Roman"/>
                <w:sz w:val="24"/>
                <w:lang w:val="en-US" w:eastAsia="zh-CN"/>
              </w:rPr>
              <w:t xml:space="preserve">          </w:t>
            </w:r>
          </w:p>
          <w:p w14:paraId="304D84B2">
            <w:pPr>
              <w:widowControl/>
              <w:wordWrap w:val="0"/>
              <w:ind w:firstLine="480" w:firstLineChars="200"/>
              <w:jc w:val="righ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w:t>
            </w:r>
          </w:p>
          <w:p w14:paraId="2C0B0885">
            <w:pPr>
              <w:widowControl/>
              <w:wordWrap w:val="0"/>
              <w:ind w:firstLine="480" w:firstLineChars="200"/>
              <w:jc w:val="right"/>
              <w:rPr>
                <w:rFonts w:hint="default" w:ascii="Times New Roman" w:hAnsi="Times New Roman" w:eastAsia="仿宋_GB2312" w:cs="Times New Roman"/>
                <w:sz w:val="24"/>
                <w:lang w:val="en-US" w:eastAsia="zh-CN"/>
              </w:rPr>
            </w:pPr>
          </w:p>
          <w:p w14:paraId="788F350B">
            <w:pPr>
              <w:widowControl/>
              <w:wordWrap w:val="0"/>
              <w:ind w:firstLine="480" w:firstLineChars="200"/>
              <w:jc w:val="righ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年</w:t>
            </w:r>
            <w:r>
              <w:rPr>
                <w:rFonts w:hint="default" w:ascii="Times New Roman" w:hAnsi="Times New Roman" w:eastAsia="仿宋_GB2312" w:cs="Times New Roman"/>
                <w:sz w:val="24"/>
                <w:lang w:val="en-US" w:eastAsia="zh-CN"/>
              </w:rPr>
              <w:t xml:space="preserve">  月  日  </w:t>
            </w:r>
          </w:p>
          <w:p w14:paraId="23BCEC7E">
            <w:pPr>
              <w:widowControl/>
              <w:wordWrap w:val="0"/>
              <w:ind w:firstLine="480" w:firstLineChars="200"/>
              <w:jc w:val="righ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县（市、区）商务行政主管部门盖章</w:t>
            </w:r>
          </w:p>
          <w:p w14:paraId="7ED8C849">
            <w:pPr>
              <w:widowControl/>
              <w:wordWrap w:val="0"/>
              <w:ind w:firstLine="480" w:firstLineChars="200"/>
              <w:jc w:val="right"/>
              <w:rPr>
                <w:rFonts w:hint="default" w:ascii="Times New Roman" w:hAnsi="Times New Roman" w:eastAsia="仿宋_GB2312" w:cs="Times New Roman"/>
                <w:sz w:val="24"/>
                <w:lang w:eastAsia="zh-CN"/>
              </w:rPr>
            </w:pPr>
          </w:p>
          <w:p w14:paraId="6033BE98">
            <w:pPr>
              <w:widowControl/>
              <w:wordWrap w:val="0"/>
              <w:ind w:firstLine="480" w:firstLineChars="200"/>
              <w:jc w:val="right"/>
              <w:rPr>
                <w:rFonts w:hint="default" w:ascii="Times New Roman" w:hAnsi="Times New Roman" w:eastAsia="仿宋_GB2312" w:cs="Times New Roman"/>
                <w:sz w:val="24"/>
                <w:lang w:eastAsia="zh-CN"/>
              </w:rPr>
            </w:pPr>
          </w:p>
          <w:p w14:paraId="418459D2">
            <w:pPr>
              <w:widowControl/>
              <w:wordWrap w:val="0"/>
              <w:ind w:firstLine="480" w:firstLineChars="200"/>
              <w:jc w:val="right"/>
              <w:rPr>
                <w:rFonts w:hint="default" w:ascii="Times New Roman" w:hAnsi="Times New Roman" w:eastAsia="仿宋_GB2312" w:cs="Times New Roman"/>
                <w:sz w:val="24"/>
                <w:lang w:eastAsia="zh-CN"/>
              </w:rPr>
            </w:pPr>
          </w:p>
          <w:p w14:paraId="10DEFD38">
            <w:pPr>
              <w:pStyle w:val="2"/>
              <w:rPr>
                <w:rFonts w:hint="default" w:ascii="Times New Roman" w:hAnsi="Times New Roman" w:eastAsia="仿宋_GB2312" w:cs="Times New Roman"/>
                <w:sz w:val="24"/>
                <w:lang w:eastAsia="zh-CN"/>
              </w:rPr>
            </w:pPr>
          </w:p>
          <w:p w14:paraId="506C07AB">
            <w:pPr>
              <w:pStyle w:val="2"/>
              <w:rPr>
                <w:rFonts w:hint="default" w:ascii="Times New Roman" w:hAnsi="Times New Roman" w:eastAsia="仿宋_GB2312" w:cs="Times New Roman"/>
                <w:sz w:val="24"/>
                <w:lang w:eastAsia="zh-CN"/>
              </w:rPr>
            </w:pPr>
          </w:p>
          <w:p w14:paraId="3617379E">
            <w:pPr>
              <w:widowControl/>
              <w:wordWrap w:val="0"/>
              <w:ind w:firstLine="480" w:firstLineChars="200"/>
              <w:jc w:val="righ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年</w:t>
            </w:r>
            <w:r>
              <w:rPr>
                <w:rFonts w:hint="default" w:ascii="Times New Roman" w:hAnsi="Times New Roman" w:eastAsia="仿宋_GB2312" w:cs="Times New Roman"/>
                <w:sz w:val="24"/>
                <w:lang w:val="en-US" w:eastAsia="zh-CN"/>
              </w:rPr>
              <w:t xml:space="preserve">  月  日  </w:t>
            </w:r>
          </w:p>
          <w:p w14:paraId="75222CF7">
            <w:pPr>
              <w:widowControl/>
              <w:wordWrap w:val="0"/>
              <w:ind w:firstLineChars="200"/>
              <w:jc w:val="righ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县（市、区）文化和旅游行政主管部门盖章</w:t>
            </w:r>
          </w:p>
          <w:p w14:paraId="509E7ACF">
            <w:pPr>
              <w:widowControl/>
              <w:wordWrap w:val="0"/>
              <w:ind w:firstLine="480" w:firstLineChars="200"/>
              <w:jc w:val="right"/>
              <w:rPr>
                <w:rFonts w:hint="default" w:ascii="Times New Roman" w:hAnsi="Times New Roman" w:eastAsia="仿宋_GB2312" w:cs="Times New Roman"/>
                <w:sz w:val="24"/>
                <w:lang w:eastAsia="zh-CN"/>
              </w:rPr>
            </w:pPr>
          </w:p>
          <w:p w14:paraId="78C5232F">
            <w:pPr>
              <w:widowControl/>
              <w:wordWrap w:val="0"/>
              <w:ind w:left="0" w:leftChars="0" w:right="0" w:rightChars="0" w:firstLine="480" w:firstLineChars="200"/>
              <w:jc w:val="right"/>
              <w:rPr>
                <w:rFonts w:hint="default" w:ascii="Times New Roman" w:hAnsi="Times New Roman" w:eastAsia="仿宋_GB2312" w:cs="Times New Roman"/>
                <w:sz w:val="24"/>
                <w:lang w:eastAsia="zh-CN"/>
              </w:rPr>
            </w:pPr>
          </w:p>
          <w:p w14:paraId="7E6AAA81">
            <w:pPr>
              <w:rPr>
                <w:rFonts w:hint="default" w:ascii="Times New Roman" w:hAnsi="Times New Roman" w:cs="Times New Roman"/>
              </w:rPr>
            </w:pPr>
          </w:p>
          <w:p w14:paraId="5BD09184">
            <w:pPr>
              <w:rPr>
                <w:rFonts w:hint="default" w:ascii="Times New Roman" w:hAnsi="Times New Roman" w:cs="Times New Roman"/>
              </w:rPr>
            </w:pPr>
          </w:p>
          <w:p w14:paraId="33D35ADA">
            <w:pPr>
              <w:rPr>
                <w:rFonts w:hint="default" w:ascii="Times New Roman" w:hAnsi="Times New Roman" w:cs="Times New Roman"/>
              </w:rPr>
            </w:pPr>
          </w:p>
          <w:p w14:paraId="554FD5D2">
            <w:pPr>
              <w:widowControl/>
              <w:wordWrap w:val="0"/>
              <w:ind w:firstLine="480" w:firstLineChars="200"/>
              <w:jc w:val="right"/>
              <w:rPr>
                <w:rFonts w:hint="default" w:ascii="Times New Roman" w:hAnsi="Times New Roman" w:eastAsia="仿宋_GB2312" w:cs="Times New Roman"/>
                <w:sz w:val="24"/>
                <w:lang w:val="en-US" w:eastAsia="zh-CN"/>
              </w:rPr>
            </w:pPr>
          </w:p>
          <w:p w14:paraId="4E8ADAFF">
            <w:pPr>
              <w:widowControl/>
              <w:wordWrap w:val="0"/>
              <w:ind w:firstLine="480" w:firstLineChars="200"/>
              <w:jc w:val="right"/>
              <w:rPr>
                <w:rFonts w:hint="default" w:ascii="Times New Roman" w:hAnsi="Times New Roman" w:eastAsia="仿宋_GB2312" w:cs="Times New Roman"/>
                <w:sz w:val="24"/>
                <w:lang w:val="en-US" w:eastAsia="zh-CN"/>
              </w:rPr>
            </w:pPr>
          </w:p>
          <w:p w14:paraId="2E0DC135">
            <w:pPr>
              <w:widowControl/>
              <w:wordWrap w:val="0"/>
              <w:ind w:firstLine="480" w:firstLineChars="200"/>
              <w:jc w:val="right"/>
              <w:rPr>
                <w:rFonts w:hint="default" w:ascii="Times New Roman" w:hAnsi="Times New Roman" w:eastAsia="仿宋_GB2312" w:cs="Times New Roman"/>
                <w:kern w:val="2"/>
                <w:sz w:val="24"/>
                <w:szCs w:val="24"/>
                <w:lang w:val="en-US" w:eastAsia="zh-CN"/>
              </w:rPr>
            </w:pPr>
            <w:r>
              <w:rPr>
                <w:rFonts w:hint="default" w:ascii="Times New Roman" w:hAnsi="Times New Roman" w:eastAsia="仿宋_GB2312" w:cs="Times New Roman"/>
                <w:sz w:val="24"/>
                <w:lang w:val="en-US" w:eastAsia="zh-CN"/>
              </w:rPr>
              <w:t xml:space="preserve">  </w:t>
            </w:r>
          </w:p>
          <w:p w14:paraId="443156ED">
            <w:pPr>
              <w:widowControl/>
              <w:wordWrap w:val="0"/>
              <w:ind w:firstLine="480" w:firstLineChars="200"/>
              <w:jc w:val="right"/>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lang w:eastAsia="zh-CN"/>
              </w:rPr>
              <w:t>年</w:t>
            </w:r>
            <w:r>
              <w:rPr>
                <w:rFonts w:hint="default" w:ascii="Times New Roman" w:hAnsi="Times New Roman" w:eastAsia="仿宋_GB2312" w:cs="Times New Roman"/>
                <w:sz w:val="24"/>
                <w:lang w:val="en-US" w:eastAsia="zh-CN"/>
              </w:rPr>
              <w:t xml:space="preserve">  月  日  </w:t>
            </w:r>
          </w:p>
          <w:p w14:paraId="01866843">
            <w:pPr>
              <w:widowControl/>
              <w:wordWrap w:val="0"/>
              <w:ind w:firstLineChars="200"/>
              <w:jc w:val="righ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县（市、区）体育行政主管部门盖章</w:t>
            </w:r>
          </w:p>
          <w:p w14:paraId="3339E1A7">
            <w:pPr>
              <w:pStyle w:val="2"/>
              <w:rPr>
                <w:rFonts w:hint="default" w:ascii="Times New Roman" w:hAnsi="Times New Roman" w:eastAsia="仿宋_GB2312" w:cs="Times New Roman"/>
                <w:color w:val="000000"/>
                <w:kern w:val="0"/>
                <w:sz w:val="24"/>
                <w:szCs w:val="24"/>
                <w:lang w:eastAsia="zh-CN"/>
              </w:rPr>
            </w:pPr>
          </w:p>
          <w:p w14:paraId="54358199">
            <w:pPr>
              <w:pStyle w:val="2"/>
              <w:rPr>
                <w:rFonts w:hint="default" w:ascii="Times New Roman" w:hAnsi="Times New Roman" w:eastAsia="仿宋_GB2312" w:cs="Times New Roman"/>
                <w:color w:val="000000"/>
                <w:kern w:val="0"/>
                <w:sz w:val="24"/>
                <w:szCs w:val="24"/>
                <w:lang w:eastAsia="zh-CN"/>
              </w:rPr>
            </w:pPr>
          </w:p>
        </w:tc>
      </w:tr>
      <w:tr w14:paraId="50E3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2128" w:type="dxa"/>
            <w:noWrap w:val="0"/>
            <w:vAlign w:val="center"/>
          </w:tcPr>
          <w:p w14:paraId="2C8E42A0">
            <w:pPr>
              <w:ind w:left="0" w:leftChars="0" w:right="0" w:rightChars="0" w:firstLine="0" w:firstLineChars="0"/>
              <w:jc w:val="center"/>
              <w:rPr>
                <w:rFonts w:hint="default" w:ascii="Times New Roman" w:hAnsi="Times New Roman" w:eastAsia="黑体" w:cs="Times New Roman"/>
                <w:color w:val="000000"/>
                <w:kern w:val="0"/>
                <w:sz w:val="24"/>
                <w:szCs w:val="28"/>
                <w:lang w:eastAsia="zh-CN"/>
              </w:rPr>
            </w:pPr>
            <w:r>
              <w:rPr>
                <w:rFonts w:hint="default" w:ascii="Times New Roman" w:hAnsi="Times New Roman" w:eastAsia="黑体" w:cs="Times New Roman"/>
                <w:color w:val="000000"/>
                <w:kern w:val="0"/>
                <w:sz w:val="24"/>
                <w:szCs w:val="28"/>
                <w:lang w:eastAsia="zh-CN"/>
              </w:rPr>
              <w:t>所在地设区市商务、文化和旅游、体育行政主管部门意见</w:t>
            </w:r>
          </w:p>
        </w:tc>
        <w:tc>
          <w:tcPr>
            <w:tcW w:w="7153" w:type="dxa"/>
            <w:gridSpan w:val="3"/>
            <w:noWrap w:val="0"/>
            <w:vAlign w:val="center"/>
          </w:tcPr>
          <w:p w14:paraId="335502D1">
            <w:pPr>
              <w:widowControl/>
              <w:wordWrap w:val="0"/>
              <w:ind w:firstLine="480" w:firstLineChars="200"/>
              <w:rPr>
                <w:rFonts w:hint="default" w:ascii="Times New Roman" w:hAnsi="Times New Roman" w:eastAsia="仿宋_GB2312" w:cs="Times New Roman"/>
                <w:color w:val="000000"/>
                <w:kern w:val="0"/>
                <w:sz w:val="24"/>
                <w:szCs w:val="24"/>
                <w:lang w:eastAsia="zh-CN"/>
              </w:rPr>
            </w:pPr>
          </w:p>
          <w:p w14:paraId="27B13407">
            <w:pPr>
              <w:widowControl/>
              <w:wordWrap w:val="0"/>
              <w:ind w:firstLine="480" w:firstLineChars="200"/>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eastAsia="zh-CN"/>
              </w:rPr>
              <w:t>同意推荐申报。</w:t>
            </w:r>
          </w:p>
          <w:p w14:paraId="22EBDDE6">
            <w:pPr>
              <w:widowControl/>
              <w:wordWrap w:val="0"/>
              <w:ind w:firstLine="480" w:firstLineChars="200"/>
              <w:rPr>
                <w:rFonts w:hint="default" w:ascii="Times New Roman" w:hAnsi="Times New Roman" w:eastAsia="仿宋_GB2312" w:cs="Times New Roman"/>
                <w:sz w:val="24"/>
                <w:lang w:val="en-US" w:eastAsia="zh-CN"/>
              </w:rPr>
            </w:pPr>
          </w:p>
          <w:p w14:paraId="45A821B6">
            <w:pPr>
              <w:widowControl/>
              <w:wordWrap w:val="0"/>
              <w:ind w:firstLine="480" w:firstLineChars="200"/>
              <w:rPr>
                <w:rFonts w:hint="default" w:ascii="Times New Roman" w:hAnsi="Times New Roman" w:eastAsia="仿宋_GB2312" w:cs="Times New Roman"/>
                <w:sz w:val="24"/>
                <w:lang w:val="en-US" w:eastAsia="zh-CN"/>
              </w:rPr>
            </w:pPr>
          </w:p>
          <w:p w14:paraId="690FBA0C">
            <w:pPr>
              <w:widowControl/>
              <w:wordWrap w:val="0"/>
              <w:ind w:firstLine="480" w:firstLineChars="200"/>
              <w:rPr>
                <w:rFonts w:hint="default" w:ascii="Times New Roman" w:hAnsi="Times New Roman" w:eastAsia="仿宋_GB2312" w:cs="Times New Roman"/>
                <w:sz w:val="24"/>
                <w:lang w:val="en-US" w:eastAsia="zh-CN"/>
              </w:rPr>
            </w:pPr>
          </w:p>
          <w:p w14:paraId="1286AF90">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p>
          <w:p w14:paraId="6EF17322">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年</w:t>
            </w:r>
            <w:r>
              <w:rPr>
                <w:rFonts w:hint="default" w:ascii="Times New Roman" w:hAnsi="Times New Roman" w:eastAsia="仿宋_GB2312" w:cs="Times New Roman"/>
                <w:color w:val="000000"/>
                <w:kern w:val="0"/>
                <w:sz w:val="24"/>
                <w:szCs w:val="24"/>
                <w:lang w:val="en-US" w:eastAsia="zh-CN"/>
              </w:rPr>
              <w:t xml:space="preserve">  月  日  </w:t>
            </w:r>
          </w:p>
          <w:p w14:paraId="01DD34DD">
            <w:pPr>
              <w:widowControl/>
              <w:wordWrap w:val="0"/>
              <w:ind w:firstLine="480" w:firstLineChars="200"/>
              <w:jc w:val="righ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设区市商务行政主管部门盖章</w:t>
            </w:r>
          </w:p>
          <w:p w14:paraId="468C197A">
            <w:pPr>
              <w:widowControl/>
              <w:wordWrap w:val="0"/>
              <w:ind w:firstLineChars="200"/>
              <w:jc w:val="right"/>
              <w:rPr>
                <w:rFonts w:hint="default" w:ascii="Times New Roman" w:hAnsi="Times New Roman" w:eastAsia="仿宋_GB2312" w:cs="Times New Roman"/>
                <w:color w:val="000000"/>
                <w:kern w:val="0"/>
                <w:sz w:val="24"/>
                <w:szCs w:val="24"/>
                <w:lang w:eastAsia="zh-CN"/>
              </w:rPr>
            </w:pPr>
          </w:p>
          <w:p w14:paraId="7E1A6517">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p>
          <w:p w14:paraId="71CDFC43">
            <w:pPr>
              <w:pStyle w:val="2"/>
              <w:wordWrap/>
              <w:rPr>
                <w:rFonts w:hint="default" w:ascii="Times New Roman" w:hAnsi="Times New Roman" w:eastAsia="仿宋_GB2312" w:cs="Times New Roman"/>
                <w:kern w:val="2"/>
                <w:sz w:val="24"/>
                <w:szCs w:val="24"/>
                <w:lang w:val="en-US" w:eastAsia="zh-CN"/>
              </w:rPr>
            </w:pPr>
          </w:p>
          <w:p w14:paraId="12011D2F">
            <w:pPr>
              <w:pStyle w:val="2"/>
              <w:wordWrap/>
              <w:rPr>
                <w:rFonts w:hint="default" w:ascii="Times New Roman" w:hAnsi="Times New Roman" w:eastAsia="仿宋_GB2312" w:cs="Times New Roman"/>
                <w:color w:val="000000"/>
                <w:kern w:val="0"/>
                <w:sz w:val="24"/>
                <w:szCs w:val="24"/>
                <w:lang w:val="en-US" w:eastAsia="zh-CN"/>
              </w:rPr>
            </w:pPr>
          </w:p>
          <w:p w14:paraId="08261EA5">
            <w:pPr>
              <w:pStyle w:val="2"/>
              <w:wordWrap/>
              <w:rPr>
                <w:rFonts w:hint="default" w:ascii="Times New Roman" w:hAnsi="Times New Roman" w:eastAsia="仿宋_GB2312" w:cs="Times New Roman"/>
                <w:color w:val="000000"/>
                <w:kern w:val="0"/>
                <w:sz w:val="24"/>
                <w:szCs w:val="24"/>
                <w:lang w:val="en-US" w:eastAsia="zh-CN"/>
              </w:rPr>
            </w:pPr>
          </w:p>
          <w:p w14:paraId="3257E151">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p>
          <w:p w14:paraId="15E4564F">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年</w:t>
            </w:r>
            <w:r>
              <w:rPr>
                <w:rFonts w:hint="default" w:ascii="Times New Roman" w:hAnsi="Times New Roman" w:eastAsia="仿宋_GB2312" w:cs="Times New Roman"/>
                <w:color w:val="000000"/>
                <w:kern w:val="0"/>
                <w:sz w:val="24"/>
                <w:szCs w:val="24"/>
                <w:lang w:val="en-US" w:eastAsia="zh-CN"/>
              </w:rPr>
              <w:t xml:space="preserve">  月  日  </w:t>
            </w:r>
          </w:p>
          <w:p w14:paraId="108613CE">
            <w:pPr>
              <w:widowControl/>
              <w:wordWrap w:val="0"/>
              <w:ind w:firstLineChars="200"/>
              <w:jc w:val="righ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设区市文化和旅游行政主管部门盖章</w:t>
            </w:r>
          </w:p>
          <w:p w14:paraId="503FA90B">
            <w:pPr>
              <w:pStyle w:val="2"/>
              <w:rPr>
                <w:rFonts w:hint="default" w:ascii="Times New Roman" w:hAnsi="Times New Roman" w:eastAsia="仿宋_GB2312" w:cs="Times New Roman"/>
                <w:color w:val="000000"/>
                <w:kern w:val="0"/>
                <w:sz w:val="24"/>
                <w:szCs w:val="24"/>
                <w:lang w:eastAsia="zh-CN"/>
              </w:rPr>
            </w:pPr>
          </w:p>
          <w:p w14:paraId="64477307">
            <w:pPr>
              <w:pStyle w:val="2"/>
              <w:rPr>
                <w:rFonts w:hint="default" w:ascii="Times New Roman" w:hAnsi="Times New Roman" w:eastAsia="仿宋_GB2312" w:cs="Times New Roman"/>
                <w:color w:val="000000"/>
                <w:kern w:val="0"/>
                <w:sz w:val="24"/>
                <w:szCs w:val="24"/>
                <w:lang w:eastAsia="zh-CN"/>
              </w:rPr>
            </w:pPr>
          </w:p>
          <w:p w14:paraId="1B394C08">
            <w:pPr>
              <w:pStyle w:val="2"/>
              <w:rPr>
                <w:rFonts w:hint="default" w:ascii="Times New Roman" w:hAnsi="Times New Roman" w:eastAsia="仿宋_GB2312" w:cs="Times New Roman"/>
                <w:color w:val="000000"/>
                <w:kern w:val="0"/>
                <w:sz w:val="24"/>
                <w:szCs w:val="24"/>
                <w:lang w:eastAsia="zh-CN"/>
              </w:rPr>
            </w:pPr>
          </w:p>
          <w:p w14:paraId="4C7DCA4C">
            <w:pPr>
              <w:pStyle w:val="2"/>
              <w:rPr>
                <w:rFonts w:hint="default" w:ascii="Times New Roman" w:hAnsi="Times New Roman" w:eastAsia="仿宋_GB2312" w:cs="Times New Roman"/>
                <w:color w:val="000000"/>
                <w:kern w:val="0"/>
                <w:sz w:val="24"/>
                <w:szCs w:val="24"/>
                <w:lang w:eastAsia="zh-CN"/>
              </w:rPr>
            </w:pPr>
          </w:p>
          <w:p w14:paraId="54AF02EC">
            <w:pPr>
              <w:pStyle w:val="2"/>
              <w:rPr>
                <w:rFonts w:hint="default" w:ascii="Times New Roman" w:hAnsi="Times New Roman" w:eastAsia="仿宋_GB2312" w:cs="Times New Roman"/>
                <w:color w:val="000000"/>
                <w:kern w:val="0"/>
                <w:sz w:val="24"/>
                <w:szCs w:val="24"/>
                <w:lang w:eastAsia="zh-CN"/>
              </w:rPr>
            </w:pPr>
          </w:p>
          <w:p w14:paraId="5CD1BD5F">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p>
          <w:p w14:paraId="46B69249">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年</w:t>
            </w:r>
            <w:r>
              <w:rPr>
                <w:rFonts w:hint="default" w:ascii="Times New Roman" w:hAnsi="Times New Roman" w:eastAsia="仿宋_GB2312" w:cs="Times New Roman"/>
                <w:color w:val="000000"/>
                <w:kern w:val="0"/>
                <w:sz w:val="24"/>
                <w:szCs w:val="24"/>
                <w:lang w:val="en-US" w:eastAsia="zh-CN"/>
              </w:rPr>
              <w:t xml:space="preserve">  月  日  </w:t>
            </w:r>
          </w:p>
          <w:p w14:paraId="641AF29B">
            <w:pPr>
              <w:pStyle w:val="2"/>
              <w:jc w:val="right"/>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color w:val="000000"/>
                <w:kern w:val="0"/>
                <w:sz w:val="24"/>
                <w:szCs w:val="24"/>
                <w:lang w:val="en-US" w:eastAsia="zh-CN"/>
              </w:rPr>
              <w:t xml:space="preserve">  </w:t>
            </w:r>
            <w:r>
              <w:rPr>
                <w:rFonts w:hint="default" w:ascii="Times New Roman" w:hAnsi="Times New Roman" w:eastAsia="仿宋_GB2312" w:cs="Times New Roman"/>
                <w:color w:val="000000"/>
                <w:kern w:val="0"/>
                <w:sz w:val="24"/>
                <w:szCs w:val="24"/>
                <w:lang w:eastAsia="zh-CN"/>
              </w:rPr>
              <w:t>设区市体育行政主管部门盖章</w:t>
            </w:r>
          </w:p>
          <w:p w14:paraId="40248FF9">
            <w:pPr>
              <w:rPr>
                <w:rFonts w:hint="default" w:ascii="Times New Roman" w:hAnsi="Times New Roman" w:cs="Times New Roman"/>
              </w:rPr>
            </w:pPr>
          </w:p>
          <w:p w14:paraId="512C06B4">
            <w:pPr>
              <w:rPr>
                <w:rFonts w:hint="default" w:ascii="Times New Roman" w:hAnsi="Times New Roman" w:cs="Times New Roman"/>
              </w:rPr>
            </w:pPr>
          </w:p>
          <w:p w14:paraId="07420586">
            <w:pPr>
              <w:rPr>
                <w:rFonts w:hint="default" w:ascii="Times New Roman" w:hAnsi="Times New Roman" w:cs="Times New Roman"/>
              </w:rPr>
            </w:pPr>
          </w:p>
          <w:p w14:paraId="1A391D54">
            <w:pPr>
              <w:rPr>
                <w:rFonts w:hint="default" w:ascii="Times New Roman" w:hAnsi="Times New Roman" w:cs="Times New Roman"/>
              </w:rPr>
            </w:pPr>
          </w:p>
          <w:p w14:paraId="0A0C631C">
            <w:pPr>
              <w:rPr>
                <w:rFonts w:hint="default" w:ascii="Times New Roman" w:hAnsi="Times New Roman" w:cs="Times New Roman"/>
              </w:rPr>
            </w:pPr>
          </w:p>
          <w:p w14:paraId="1B72624E">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p>
          <w:p w14:paraId="5BF1574B">
            <w:pPr>
              <w:widowControl/>
              <w:wordWrap w:val="0"/>
              <w:ind w:firstLine="480" w:firstLineChars="200"/>
              <w:jc w:val="right"/>
              <w:rPr>
                <w:rFonts w:hint="default" w:ascii="Times New Roman" w:hAnsi="Times New Roman" w:eastAsia="仿宋_GB2312" w:cs="Times New Roman"/>
                <w:color w:val="000000"/>
                <w:kern w:val="0"/>
                <w:sz w:val="24"/>
                <w:szCs w:val="24"/>
                <w:lang w:val="en-US" w:eastAsia="zh-CN"/>
              </w:rPr>
            </w:pPr>
          </w:p>
          <w:p w14:paraId="14BAE8F0">
            <w:pPr>
              <w:rPr>
                <w:rFonts w:hint="default" w:ascii="Times New Roman" w:hAnsi="Times New Roman" w:cs="Times New Roman"/>
              </w:rPr>
            </w:pPr>
            <w:r>
              <w:rPr>
                <w:rFonts w:hint="default" w:ascii="Times New Roman" w:hAnsi="Times New Roman" w:eastAsia="仿宋_GB2312" w:cs="Times New Roman"/>
                <w:color w:val="000000"/>
                <w:kern w:val="0"/>
                <w:sz w:val="24"/>
                <w:szCs w:val="24"/>
                <w:lang w:val="en-US" w:eastAsia="zh-CN"/>
              </w:rPr>
              <w:t xml:space="preserve"> </w:t>
            </w:r>
          </w:p>
          <w:p w14:paraId="72A2F47F">
            <w:pPr>
              <w:widowControl/>
              <w:wordWrap w:val="0"/>
              <w:ind w:firstLine="480" w:firstLineChars="200"/>
              <w:rPr>
                <w:rFonts w:hint="default" w:ascii="Times New Roman" w:hAnsi="Times New Roman" w:eastAsia="仿宋_GB2312" w:cs="Times New Roman"/>
                <w:color w:val="000000"/>
                <w:kern w:val="0"/>
                <w:sz w:val="24"/>
                <w:szCs w:val="24"/>
                <w:lang w:eastAsia="zh-CN"/>
              </w:rPr>
            </w:pPr>
          </w:p>
        </w:tc>
      </w:tr>
    </w:tbl>
    <w:p w14:paraId="5C7F2F2B">
      <w:pPr>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rPr>
        <w:br w:type="page"/>
      </w:r>
      <w:r>
        <w:rPr>
          <w:rFonts w:hint="default" w:ascii="Times New Roman" w:hAnsi="Times New Roman" w:eastAsia="黑体" w:cs="Times New Roman"/>
          <w:bCs/>
          <w:sz w:val="32"/>
          <w:szCs w:val="32"/>
        </w:rPr>
        <w:t>附</w:t>
      </w:r>
      <w:r>
        <w:rPr>
          <w:rFonts w:hint="default" w:ascii="Times New Roman" w:hAnsi="Times New Roman" w:eastAsia="黑体" w:cs="Times New Roman"/>
          <w:bCs/>
          <w:sz w:val="32"/>
          <w:szCs w:val="32"/>
          <w:lang w:eastAsia="zh-CN"/>
        </w:rPr>
        <w:t>表</w:t>
      </w:r>
    </w:p>
    <w:bookmarkEnd w:id="0"/>
    <w:p w14:paraId="347C5938">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夜间消费集聚区经营</w:t>
      </w:r>
      <w:r>
        <w:rPr>
          <w:rFonts w:hint="eastAsia" w:ascii="方正小标宋简体" w:hAnsi="方正小标宋简体" w:eastAsia="方正小标宋简体" w:cs="方正小标宋简体"/>
          <w:sz w:val="36"/>
          <w:szCs w:val="36"/>
        </w:rPr>
        <w:t>基本信息</w:t>
      </w:r>
      <w:r>
        <w:rPr>
          <w:rFonts w:hint="eastAsia" w:ascii="方正小标宋简体" w:hAnsi="方正小标宋简体" w:eastAsia="方正小标宋简体" w:cs="方正小标宋简体"/>
          <w:sz w:val="36"/>
          <w:szCs w:val="36"/>
          <w:lang w:eastAsia="zh-CN"/>
        </w:rPr>
        <w:t>表</w:t>
      </w:r>
    </w:p>
    <w:p w14:paraId="1277956F">
      <w:pPr>
        <w:widowControl/>
        <w:jc w:val="center"/>
        <w:rPr>
          <w:rFonts w:hint="default" w:ascii="Times New Roman" w:hAnsi="Times New Roman" w:cs="Times New Roman"/>
          <w:sz w:val="24"/>
          <w:szCs w:val="24"/>
        </w:rPr>
      </w:pPr>
    </w:p>
    <w:p w14:paraId="14E2EF73">
      <w:pPr>
        <w:widowControl/>
        <w:rPr>
          <w:rFonts w:hint="default" w:ascii="Times New Roman" w:hAnsi="Times New Roman" w:cs="Times New Roman"/>
          <w:sz w:val="18"/>
          <w:szCs w:val="18"/>
          <w:u w:val="single"/>
        </w:rPr>
      </w:pPr>
      <w:r>
        <w:rPr>
          <w:rFonts w:hint="default" w:ascii="Times New Roman" w:hAnsi="Times New Roman" w:cs="Times New Roman"/>
          <w:sz w:val="18"/>
          <w:szCs w:val="18"/>
          <w:lang w:eastAsia="zh-CN"/>
        </w:rPr>
        <w:t>集聚区</w:t>
      </w:r>
      <w:r>
        <w:rPr>
          <w:rFonts w:hint="default" w:ascii="Times New Roman" w:hAnsi="Times New Roman" w:cs="Times New Roman"/>
          <w:sz w:val="18"/>
          <w:szCs w:val="18"/>
        </w:rPr>
        <w:t>：</w:t>
      </w:r>
      <w:r>
        <w:rPr>
          <w:rFonts w:hint="default" w:ascii="Times New Roman" w:hAnsi="Times New Roman" w:cs="Times New Roman"/>
          <w:sz w:val="18"/>
          <w:szCs w:val="18"/>
          <w:u w:val="single"/>
        </w:rPr>
        <w:t xml:space="preserve">                         （盖章）  </w:t>
      </w:r>
      <w:r>
        <w:rPr>
          <w:rFonts w:hint="default" w:ascii="Times New Roman" w:hAnsi="Times New Roman" w:cs="Times New Roman"/>
          <w:sz w:val="18"/>
          <w:szCs w:val="18"/>
        </w:rPr>
        <w:t xml:space="preserve">                        填表日期：</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年</w:t>
      </w:r>
      <w:r>
        <w:rPr>
          <w:rFonts w:hint="default" w:ascii="Times New Roman" w:hAnsi="Times New Roman" w:cs="Times New Roman"/>
          <w:sz w:val="18"/>
          <w:szCs w:val="18"/>
          <w:u w:val="single"/>
        </w:rPr>
        <w:t xml:space="preserve">    </w:t>
      </w:r>
      <w:r>
        <w:rPr>
          <w:rFonts w:hint="default" w:ascii="Times New Roman" w:hAnsi="Times New Roman" w:cs="Times New Roman"/>
          <w:sz w:val="18"/>
          <w:szCs w:val="18"/>
        </w:rPr>
        <w:t>月</w:t>
      </w:r>
    </w:p>
    <w:tbl>
      <w:tblPr>
        <w:tblStyle w:val="5"/>
        <w:tblW w:w="10066" w:type="dxa"/>
        <w:jc w:val="center"/>
        <w:tblLayout w:type="fixed"/>
        <w:tblCellMar>
          <w:top w:w="0" w:type="dxa"/>
          <w:left w:w="108" w:type="dxa"/>
          <w:bottom w:w="0" w:type="dxa"/>
          <w:right w:w="108" w:type="dxa"/>
        </w:tblCellMar>
      </w:tblPr>
      <w:tblGrid>
        <w:gridCol w:w="1560"/>
        <w:gridCol w:w="2793"/>
        <w:gridCol w:w="1238"/>
        <w:gridCol w:w="1100"/>
        <w:gridCol w:w="1212"/>
        <w:gridCol w:w="1087"/>
        <w:gridCol w:w="1076"/>
      </w:tblGrid>
      <w:tr w14:paraId="42D23BB1">
        <w:tblPrEx>
          <w:tblCellMar>
            <w:top w:w="0" w:type="dxa"/>
            <w:left w:w="108" w:type="dxa"/>
            <w:bottom w:w="0" w:type="dxa"/>
            <w:right w:w="108" w:type="dxa"/>
          </w:tblCellMar>
        </w:tblPrEx>
        <w:trPr>
          <w:trHeight w:val="312" w:hRule="atLeast"/>
          <w:tblHeader/>
          <w:jc w:val="center"/>
        </w:trPr>
        <w:tc>
          <w:tcPr>
            <w:tcW w:w="1560" w:type="dxa"/>
            <w:tcBorders>
              <w:top w:val="single" w:color="auto" w:sz="8" w:space="0"/>
              <w:left w:val="nil"/>
              <w:bottom w:val="single" w:color="auto" w:sz="8" w:space="0"/>
              <w:right w:val="single" w:color="auto" w:sz="8" w:space="0"/>
            </w:tcBorders>
            <w:noWrap/>
            <w:vAlign w:val="center"/>
          </w:tcPr>
          <w:p w14:paraId="1AA6DC41">
            <w:pPr>
              <w:widowControl/>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指标分类</w:t>
            </w:r>
          </w:p>
        </w:tc>
        <w:tc>
          <w:tcPr>
            <w:tcW w:w="2793" w:type="dxa"/>
            <w:tcBorders>
              <w:top w:val="single" w:color="auto" w:sz="8" w:space="0"/>
              <w:left w:val="nil"/>
              <w:bottom w:val="single" w:color="auto" w:sz="8" w:space="0"/>
              <w:right w:val="single" w:color="auto" w:sz="8" w:space="0"/>
            </w:tcBorders>
            <w:noWrap/>
            <w:vAlign w:val="center"/>
          </w:tcPr>
          <w:p w14:paraId="155A207F">
            <w:pPr>
              <w:widowControl/>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指标名称</w:t>
            </w:r>
          </w:p>
        </w:tc>
        <w:tc>
          <w:tcPr>
            <w:tcW w:w="1238" w:type="dxa"/>
            <w:tcBorders>
              <w:top w:val="single" w:color="auto" w:sz="8" w:space="0"/>
              <w:left w:val="nil"/>
              <w:bottom w:val="single" w:color="auto" w:sz="8" w:space="0"/>
              <w:right w:val="single" w:color="auto" w:sz="8" w:space="0"/>
            </w:tcBorders>
            <w:noWrap w:val="0"/>
            <w:vAlign w:val="center"/>
          </w:tcPr>
          <w:p w14:paraId="6233B615">
            <w:pPr>
              <w:widowControl/>
              <w:jc w:val="center"/>
              <w:rPr>
                <w:rFonts w:hint="default" w:ascii="Times New Roman" w:hAnsi="Times New Roman" w:cs="Times New Roman"/>
                <w:b/>
                <w:bCs/>
                <w:color w:val="000000"/>
                <w:kern w:val="0"/>
              </w:rPr>
            </w:pPr>
            <w:r>
              <w:rPr>
                <w:rFonts w:hint="default" w:ascii="Times New Roman" w:hAnsi="Times New Roman" w:cs="Times New Roman"/>
                <w:b/>
                <w:bCs/>
                <w:color w:val="000000"/>
                <w:kern w:val="0"/>
              </w:rPr>
              <w:t>单位</w:t>
            </w:r>
          </w:p>
        </w:tc>
        <w:tc>
          <w:tcPr>
            <w:tcW w:w="1100" w:type="dxa"/>
            <w:tcBorders>
              <w:top w:val="single" w:color="auto" w:sz="8" w:space="0"/>
              <w:left w:val="nil"/>
              <w:bottom w:val="single" w:color="auto" w:sz="8" w:space="0"/>
              <w:right w:val="nil"/>
            </w:tcBorders>
            <w:noWrap/>
            <w:vAlign w:val="center"/>
          </w:tcPr>
          <w:p w14:paraId="7D1DE5A9">
            <w:pPr>
              <w:widowControl/>
              <w:jc w:val="center"/>
              <w:rPr>
                <w:rFonts w:hint="default" w:ascii="Times New Roman" w:hAnsi="Times New Roman" w:cs="Times New Roman"/>
                <w:b/>
                <w:bCs/>
                <w:color w:val="000000"/>
                <w:kern w:val="0"/>
                <w:lang w:val="en-US" w:eastAsia="zh-CN"/>
              </w:rPr>
            </w:pPr>
            <w:r>
              <w:rPr>
                <w:rFonts w:hint="default" w:ascii="Times New Roman" w:hAnsi="Times New Roman" w:cs="Times New Roman"/>
                <w:b/>
                <w:bCs/>
                <w:color w:val="000000"/>
                <w:kern w:val="0"/>
                <w:lang w:val="en-US" w:eastAsia="zh-CN"/>
              </w:rPr>
              <w:t>2024年</w:t>
            </w:r>
          </w:p>
          <w:p w14:paraId="151F7A85">
            <w:pPr>
              <w:widowControl/>
              <w:jc w:val="center"/>
              <w:rPr>
                <w:rFonts w:hint="default" w:ascii="Times New Roman" w:hAnsi="Times New Roman" w:eastAsia="宋体" w:cs="Times New Roman"/>
                <w:b/>
                <w:bCs/>
                <w:color w:val="000000"/>
                <w:kern w:val="0"/>
                <w:lang w:val="en-US" w:eastAsia="zh-CN"/>
              </w:rPr>
            </w:pPr>
            <w:r>
              <w:rPr>
                <w:rFonts w:hint="default" w:ascii="Times New Roman" w:hAnsi="Times New Roman" w:cs="Times New Roman"/>
                <w:b/>
                <w:bCs/>
                <w:color w:val="000000"/>
                <w:kern w:val="0"/>
                <w:lang w:val="en-US" w:eastAsia="zh-CN"/>
              </w:rPr>
              <w:t>1-8月</w:t>
            </w:r>
          </w:p>
        </w:tc>
        <w:tc>
          <w:tcPr>
            <w:tcW w:w="1212" w:type="dxa"/>
            <w:tcBorders>
              <w:top w:val="single" w:color="auto" w:sz="8" w:space="0"/>
              <w:left w:val="single" w:color="auto" w:sz="8" w:space="0"/>
              <w:bottom w:val="single" w:color="auto" w:sz="8" w:space="0"/>
              <w:right w:val="nil"/>
            </w:tcBorders>
            <w:noWrap w:val="0"/>
            <w:vAlign w:val="center"/>
          </w:tcPr>
          <w:p w14:paraId="59279B5E">
            <w:pPr>
              <w:widowControl/>
              <w:jc w:val="center"/>
              <w:rPr>
                <w:rFonts w:hint="default" w:ascii="Times New Roman" w:hAnsi="Times New Roman" w:eastAsia="宋体" w:cs="Times New Roman"/>
                <w:b/>
                <w:bCs/>
                <w:color w:val="000000"/>
                <w:kern w:val="0"/>
                <w:lang w:val="en-US" w:eastAsia="zh-CN"/>
              </w:rPr>
            </w:pPr>
            <w:r>
              <w:rPr>
                <w:rFonts w:hint="default" w:ascii="Times New Roman" w:hAnsi="Times New Roman" w:cs="Times New Roman"/>
                <w:b/>
                <w:bCs/>
                <w:color w:val="000000"/>
                <w:kern w:val="0"/>
                <w:lang w:val="en-US" w:eastAsia="zh-CN"/>
              </w:rPr>
              <w:t>2023年</w:t>
            </w:r>
          </w:p>
        </w:tc>
        <w:tc>
          <w:tcPr>
            <w:tcW w:w="1087" w:type="dxa"/>
            <w:tcBorders>
              <w:top w:val="single" w:color="auto" w:sz="8" w:space="0"/>
              <w:left w:val="single" w:color="auto" w:sz="8" w:space="0"/>
              <w:bottom w:val="single" w:color="auto" w:sz="8" w:space="0"/>
              <w:right w:val="nil"/>
            </w:tcBorders>
            <w:noWrap w:val="0"/>
            <w:vAlign w:val="center"/>
          </w:tcPr>
          <w:p w14:paraId="7863A2E9">
            <w:pPr>
              <w:widowControl/>
              <w:jc w:val="center"/>
              <w:rPr>
                <w:rFonts w:hint="default" w:ascii="Times New Roman" w:hAnsi="Times New Roman" w:eastAsia="宋体" w:cs="Times New Roman"/>
                <w:b/>
                <w:bCs/>
                <w:color w:val="000000"/>
                <w:kern w:val="0"/>
                <w:lang w:val="en-US" w:eastAsia="zh-CN"/>
              </w:rPr>
            </w:pPr>
            <w:r>
              <w:rPr>
                <w:rFonts w:hint="default" w:ascii="Times New Roman" w:hAnsi="Times New Roman" w:cs="Times New Roman"/>
                <w:b/>
                <w:bCs/>
                <w:color w:val="000000"/>
                <w:kern w:val="0"/>
                <w:lang w:val="en-US" w:eastAsia="zh-CN"/>
              </w:rPr>
              <w:t>2022年</w:t>
            </w:r>
          </w:p>
        </w:tc>
        <w:tc>
          <w:tcPr>
            <w:tcW w:w="1076" w:type="dxa"/>
            <w:tcBorders>
              <w:top w:val="single" w:color="auto" w:sz="8" w:space="0"/>
              <w:left w:val="single" w:color="auto" w:sz="8" w:space="0"/>
              <w:bottom w:val="single" w:color="auto" w:sz="8" w:space="0"/>
              <w:right w:val="nil"/>
            </w:tcBorders>
            <w:noWrap w:val="0"/>
            <w:vAlign w:val="center"/>
          </w:tcPr>
          <w:p w14:paraId="68FD1C5D">
            <w:pPr>
              <w:widowControl/>
              <w:jc w:val="center"/>
              <w:rPr>
                <w:rFonts w:hint="default" w:ascii="Times New Roman" w:hAnsi="Times New Roman" w:cs="Times New Roman"/>
                <w:b/>
                <w:bCs/>
                <w:color w:val="000000"/>
                <w:kern w:val="0"/>
                <w:lang w:val="en-US" w:eastAsia="zh-CN"/>
              </w:rPr>
            </w:pPr>
            <w:r>
              <w:rPr>
                <w:rFonts w:hint="default" w:ascii="Times New Roman" w:hAnsi="Times New Roman" w:cs="Times New Roman"/>
                <w:b/>
                <w:bCs/>
                <w:color w:val="000000"/>
                <w:kern w:val="0"/>
                <w:lang w:val="en-US" w:eastAsia="zh-CN"/>
              </w:rPr>
              <w:t>2019年</w:t>
            </w:r>
          </w:p>
        </w:tc>
      </w:tr>
      <w:tr w14:paraId="667798D7">
        <w:tblPrEx>
          <w:tblCellMar>
            <w:top w:w="0" w:type="dxa"/>
            <w:left w:w="108" w:type="dxa"/>
            <w:bottom w:w="0" w:type="dxa"/>
            <w:right w:w="108" w:type="dxa"/>
          </w:tblCellMar>
        </w:tblPrEx>
        <w:trPr>
          <w:trHeight w:val="312" w:hRule="atLeast"/>
          <w:jc w:val="center"/>
        </w:trPr>
        <w:tc>
          <w:tcPr>
            <w:tcW w:w="1560" w:type="dxa"/>
            <w:vMerge w:val="restart"/>
            <w:tcBorders>
              <w:top w:val="nil"/>
              <w:left w:val="nil"/>
              <w:bottom w:val="single" w:color="000000" w:sz="8" w:space="0"/>
              <w:right w:val="single" w:color="auto" w:sz="8" w:space="0"/>
            </w:tcBorders>
            <w:noWrap/>
            <w:vAlign w:val="center"/>
          </w:tcPr>
          <w:p w14:paraId="26216BC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eastAsia="zh-CN"/>
              </w:rPr>
              <w:t>一</w:t>
            </w:r>
            <w:r>
              <w:rPr>
                <w:rFonts w:hint="default" w:ascii="Times New Roman" w:hAnsi="Times New Roman" w:cs="Times New Roman"/>
                <w:color w:val="000000"/>
                <w:kern w:val="0"/>
              </w:rPr>
              <w:t>、地理信息</w:t>
            </w:r>
          </w:p>
        </w:tc>
        <w:tc>
          <w:tcPr>
            <w:tcW w:w="2793" w:type="dxa"/>
            <w:tcBorders>
              <w:top w:val="nil"/>
              <w:left w:val="nil"/>
              <w:bottom w:val="single" w:color="auto" w:sz="8" w:space="0"/>
              <w:right w:val="single" w:color="auto" w:sz="8" w:space="0"/>
            </w:tcBorders>
            <w:noWrap/>
            <w:vAlign w:val="center"/>
          </w:tcPr>
          <w:p w14:paraId="49670830">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建成历史</w:t>
            </w:r>
          </w:p>
        </w:tc>
        <w:tc>
          <w:tcPr>
            <w:tcW w:w="1238" w:type="dxa"/>
            <w:tcBorders>
              <w:top w:val="nil"/>
              <w:left w:val="nil"/>
              <w:bottom w:val="single" w:color="auto" w:sz="8" w:space="0"/>
              <w:right w:val="single" w:color="auto" w:sz="8" w:space="0"/>
            </w:tcBorders>
            <w:noWrap w:val="0"/>
            <w:vAlign w:val="center"/>
          </w:tcPr>
          <w:p w14:paraId="0644076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年</w:t>
            </w:r>
          </w:p>
        </w:tc>
        <w:tc>
          <w:tcPr>
            <w:tcW w:w="1100" w:type="dxa"/>
            <w:tcBorders>
              <w:top w:val="nil"/>
              <w:left w:val="nil"/>
              <w:bottom w:val="single" w:color="auto" w:sz="8" w:space="0"/>
              <w:right w:val="nil"/>
            </w:tcBorders>
            <w:noWrap/>
            <w:vAlign w:val="center"/>
          </w:tcPr>
          <w:p w14:paraId="729A58E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575C37D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65D3027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469B10B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44B10B18">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4791930C">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2C40C9D">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总占地面积</w:t>
            </w:r>
          </w:p>
        </w:tc>
        <w:tc>
          <w:tcPr>
            <w:tcW w:w="1238" w:type="dxa"/>
            <w:tcBorders>
              <w:top w:val="nil"/>
              <w:left w:val="nil"/>
              <w:bottom w:val="single" w:color="auto" w:sz="8" w:space="0"/>
              <w:right w:val="single" w:color="auto" w:sz="8" w:space="0"/>
            </w:tcBorders>
            <w:noWrap w:val="0"/>
            <w:vAlign w:val="center"/>
          </w:tcPr>
          <w:p w14:paraId="5AB5C450">
            <w:pPr>
              <w:widowControl/>
              <w:jc w:val="center"/>
              <w:rPr>
                <w:rFonts w:hint="default" w:ascii="Times New Roman" w:hAnsi="Times New Roman" w:eastAsia="宋体" w:cs="Times New Roman"/>
                <w:color w:val="000000"/>
                <w:kern w:val="0"/>
                <w:lang w:eastAsia="zh-CN"/>
              </w:rPr>
            </w:pPr>
            <w:r>
              <w:rPr>
                <w:rFonts w:hint="default" w:ascii="Times New Roman" w:hAnsi="Times New Roman" w:cs="Times New Roman"/>
                <w:color w:val="000000"/>
                <w:kern w:val="0"/>
              </w:rPr>
              <w:t>万</w:t>
            </w:r>
            <w:r>
              <w:rPr>
                <w:rFonts w:hint="default" w:ascii="Times New Roman" w:hAnsi="Times New Roman" w:cs="Times New Roman"/>
                <w:color w:val="000000"/>
                <w:kern w:val="0"/>
                <w:lang w:eastAsia="zh-CN"/>
              </w:rPr>
              <w:t>㎡</w:t>
            </w:r>
          </w:p>
        </w:tc>
        <w:tc>
          <w:tcPr>
            <w:tcW w:w="1100" w:type="dxa"/>
            <w:tcBorders>
              <w:top w:val="nil"/>
              <w:left w:val="nil"/>
              <w:bottom w:val="single" w:color="auto" w:sz="8" w:space="0"/>
              <w:right w:val="nil"/>
            </w:tcBorders>
            <w:noWrap/>
            <w:vAlign w:val="center"/>
          </w:tcPr>
          <w:p w14:paraId="7542B9D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416DFB7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72C9290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55DAF49D">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7C0621B3">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6E0E0D83">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10350CC2">
            <w:pPr>
              <w:widowControl/>
              <w:jc w:val="left"/>
              <w:rPr>
                <w:rFonts w:hint="default" w:ascii="Times New Roman" w:hAnsi="Times New Roman" w:cs="Times New Roman"/>
                <w:color w:val="FF0000"/>
                <w:kern w:val="0"/>
              </w:rPr>
            </w:pPr>
            <w:r>
              <w:rPr>
                <w:rFonts w:hint="default" w:ascii="Times New Roman" w:hAnsi="Times New Roman" w:cs="Times New Roman"/>
                <w:kern w:val="0"/>
              </w:rPr>
              <w:t>商业建筑面积</w:t>
            </w:r>
          </w:p>
        </w:tc>
        <w:tc>
          <w:tcPr>
            <w:tcW w:w="1238" w:type="dxa"/>
            <w:tcBorders>
              <w:top w:val="nil"/>
              <w:left w:val="nil"/>
              <w:bottom w:val="single" w:color="auto" w:sz="8" w:space="0"/>
              <w:right w:val="single" w:color="auto" w:sz="8" w:space="0"/>
            </w:tcBorders>
            <w:noWrap w:val="0"/>
            <w:vAlign w:val="center"/>
          </w:tcPr>
          <w:p w14:paraId="1FBAA670">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w:t>
            </w:r>
            <w:r>
              <w:rPr>
                <w:rFonts w:hint="default" w:ascii="Times New Roman" w:hAnsi="Times New Roman" w:cs="Times New Roman"/>
                <w:color w:val="000000"/>
                <w:kern w:val="0"/>
                <w:lang w:eastAsia="zh-CN"/>
              </w:rPr>
              <w:t>㎡</w:t>
            </w:r>
          </w:p>
        </w:tc>
        <w:tc>
          <w:tcPr>
            <w:tcW w:w="1100" w:type="dxa"/>
            <w:tcBorders>
              <w:top w:val="nil"/>
              <w:left w:val="nil"/>
              <w:bottom w:val="single" w:color="auto" w:sz="8" w:space="0"/>
              <w:right w:val="nil"/>
            </w:tcBorders>
            <w:noWrap/>
            <w:vAlign w:val="center"/>
          </w:tcPr>
          <w:p w14:paraId="24CC38C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390C720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74B0147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55C2AFE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478BD992">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13B0BED1">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7C9B16A7">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公园绿地面积</w:t>
            </w:r>
          </w:p>
        </w:tc>
        <w:tc>
          <w:tcPr>
            <w:tcW w:w="1238" w:type="dxa"/>
            <w:tcBorders>
              <w:top w:val="nil"/>
              <w:left w:val="nil"/>
              <w:bottom w:val="single" w:color="auto" w:sz="8" w:space="0"/>
              <w:right w:val="single" w:color="auto" w:sz="8" w:space="0"/>
            </w:tcBorders>
            <w:noWrap w:val="0"/>
            <w:vAlign w:val="center"/>
          </w:tcPr>
          <w:p w14:paraId="06FF065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w:t>
            </w:r>
            <w:r>
              <w:rPr>
                <w:rFonts w:hint="default" w:ascii="Times New Roman" w:hAnsi="Times New Roman" w:cs="Times New Roman"/>
                <w:color w:val="000000"/>
                <w:kern w:val="0"/>
                <w:lang w:eastAsia="zh-CN"/>
              </w:rPr>
              <w:t>㎡</w:t>
            </w:r>
          </w:p>
        </w:tc>
        <w:tc>
          <w:tcPr>
            <w:tcW w:w="1100" w:type="dxa"/>
            <w:tcBorders>
              <w:top w:val="nil"/>
              <w:left w:val="nil"/>
              <w:bottom w:val="single" w:color="auto" w:sz="8" w:space="0"/>
              <w:right w:val="nil"/>
            </w:tcBorders>
            <w:noWrap/>
            <w:vAlign w:val="center"/>
          </w:tcPr>
          <w:p w14:paraId="7C6E0C2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3576AD9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6336148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0388F73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4FEDA3AF">
        <w:tblPrEx>
          <w:tblCellMar>
            <w:top w:w="0" w:type="dxa"/>
            <w:left w:w="108" w:type="dxa"/>
            <w:bottom w:w="0" w:type="dxa"/>
            <w:right w:w="108" w:type="dxa"/>
          </w:tblCellMar>
        </w:tblPrEx>
        <w:trPr>
          <w:trHeight w:val="90" w:hRule="atLeast"/>
          <w:jc w:val="center"/>
        </w:trPr>
        <w:tc>
          <w:tcPr>
            <w:tcW w:w="1560" w:type="dxa"/>
            <w:vMerge w:val="restart"/>
            <w:tcBorders>
              <w:top w:val="nil"/>
              <w:left w:val="nil"/>
              <w:right w:val="single" w:color="auto" w:sz="8" w:space="0"/>
            </w:tcBorders>
            <w:noWrap w:val="0"/>
            <w:vAlign w:val="center"/>
          </w:tcPr>
          <w:p w14:paraId="466E53AB">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eastAsia="zh-CN"/>
              </w:rPr>
              <w:t>二</w:t>
            </w:r>
            <w:r>
              <w:rPr>
                <w:rFonts w:hint="default" w:ascii="Times New Roman" w:hAnsi="Times New Roman" w:cs="Times New Roman"/>
                <w:color w:val="000000"/>
                <w:kern w:val="0"/>
              </w:rPr>
              <w:t>、品牌引进</w:t>
            </w:r>
          </w:p>
        </w:tc>
        <w:tc>
          <w:tcPr>
            <w:tcW w:w="2793" w:type="dxa"/>
            <w:tcBorders>
              <w:top w:val="nil"/>
              <w:left w:val="nil"/>
              <w:bottom w:val="single" w:color="auto" w:sz="8" w:space="0"/>
              <w:right w:val="single" w:color="auto" w:sz="8" w:space="0"/>
            </w:tcBorders>
            <w:noWrap/>
            <w:vAlign w:val="center"/>
          </w:tcPr>
          <w:p w14:paraId="5A5088A6">
            <w:pPr>
              <w:widowControl/>
              <w:jc w:val="left"/>
              <w:rPr>
                <w:rFonts w:hint="default" w:ascii="Times New Roman" w:hAnsi="Times New Roman" w:eastAsia="宋体" w:cs="Times New Roman"/>
                <w:color w:val="000000"/>
                <w:kern w:val="0"/>
                <w:lang w:eastAsia="zh-CN"/>
              </w:rPr>
            </w:pPr>
            <w:r>
              <w:rPr>
                <w:rFonts w:hint="default" w:ascii="Times New Roman" w:hAnsi="Times New Roman" w:cs="Times New Roman"/>
                <w:color w:val="000000"/>
                <w:kern w:val="0"/>
                <w:lang w:eastAsia="zh-CN"/>
              </w:rPr>
              <w:t>集聚区商铺数量</w:t>
            </w:r>
          </w:p>
        </w:tc>
        <w:tc>
          <w:tcPr>
            <w:tcW w:w="1238" w:type="dxa"/>
            <w:tcBorders>
              <w:top w:val="nil"/>
              <w:left w:val="nil"/>
              <w:bottom w:val="single" w:color="auto" w:sz="8" w:space="0"/>
              <w:right w:val="single" w:color="auto" w:sz="8" w:space="0"/>
            </w:tcBorders>
            <w:noWrap w:val="0"/>
            <w:vAlign w:val="center"/>
          </w:tcPr>
          <w:p w14:paraId="4DE863C9">
            <w:pPr>
              <w:widowControl/>
              <w:jc w:val="center"/>
              <w:rPr>
                <w:rFonts w:hint="default" w:ascii="Times New Roman" w:hAnsi="Times New Roman" w:eastAsia="宋体" w:cs="Times New Roman"/>
                <w:color w:val="000000"/>
                <w:kern w:val="0"/>
                <w:lang w:eastAsia="zh-CN"/>
              </w:rPr>
            </w:pPr>
            <w:r>
              <w:rPr>
                <w:rFonts w:hint="default" w:ascii="Times New Roman" w:hAnsi="Times New Roman" w:cs="Times New Roman"/>
                <w:color w:val="000000"/>
                <w:kern w:val="0"/>
                <w:lang w:eastAsia="zh-CN"/>
              </w:rPr>
              <w:t>个</w:t>
            </w:r>
          </w:p>
        </w:tc>
        <w:tc>
          <w:tcPr>
            <w:tcW w:w="1100" w:type="dxa"/>
            <w:tcBorders>
              <w:top w:val="nil"/>
              <w:left w:val="nil"/>
              <w:bottom w:val="single" w:color="auto" w:sz="8" w:space="0"/>
              <w:right w:val="nil"/>
            </w:tcBorders>
            <w:noWrap/>
            <w:vAlign w:val="center"/>
          </w:tcPr>
          <w:p w14:paraId="3827412B">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289270C2">
            <w:pPr>
              <w:widowControl/>
              <w:jc w:val="center"/>
              <w:rPr>
                <w:rFonts w:hint="default" w:ascii="Times New Roman" w:hAnsi="Times New Roman" w:eastAsia="宋体"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78D71C31">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199AFDC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12CEC42E">
        <w:tblPrEx>
          <w:tblCellMar>
            <w:top w:w="0" w:type="dxa"/>
            <w:left w:w="108" w:type="dxa"/>
            <w:bottom w:w="0" w:type="dxa"/>
            <w:right w:w="108" w:type="dxa"/>
          </w:tblCellMar>
        </w:tblPrEx>
        <w:trPr>
          <w:trHeight w:val="90" w:hRule="atLeast"/>
          <w:jc w:val="center"/>
        </w:trPr>
        <w:tc>
          <w:tcPr>
            <w:tcW w:w="1560" w:type="dxa"/>
            <w:vMerge w:val="continue"/>
            <w:tcBorders>
              <w:left w:val="nil"/>
              <w:right w:val="single" w:color="auto" w:sz="8" w:space="0"/>
            </w:tcBorders>
            <w:noWrap w:val="0"/>
            <w:vAlign w:val="center"/>
          </w:tcPr>
          <w:p w14:paraId="465D18CC">
            <w:pPr>
              <w:widowControl/>
              <w:jc w:val="center"/>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0653548B">
            <w:pPr>
              <w:widowControl/>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集聚区商铺空置率</w:t>
            </w:r>
          </w:p>
        </w:tc>
        <w:tc>
          <w:tcPr>
            <w:tcW w:w="1238" w:type="dxa"/>
            <w:tcBorders>
              <w:top w:val="nil"/>
              <w:left w:val="nil"/>
              <w:bottom w:val="single" w:color="auto" w:sz="8" w:space="0"/>
              <w:right w:val="single" w:color="auto" w:sz="8" w:space="0"/>
            </w:tcBorders>
            <w:noWrap w:val="0"/>
            <w:vAlign w:val="center"/>
          </w:tcPr>
          <w:p w14:paraId="211AA876">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100" w:type="dxa"/>
            <w:tcBorders>
              <w:top w:val="nil"/>
              <w:left w:val="nil"/>
              <w:bottom w:val="single" w:color="auto" w:sz="8" w:space="0"/>
              <w:right w:val="nil"/>
            </w:tcBorders>
            <w:noWrap/>
            <w:vAlign w:val="center"/>
          </w:tcPr>
          <w:p w14:paraId="18D28D7C">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038D38BA">
            <w:pPr>
              <w:widowControl/>
              <w:jc w:val="center"/>
              <w:rPr>
                <w:rFonts w:hint="default" w:ascii="Times New Roman" w:hAnsi="Times New Roman" w:eastAsia="宋体"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68E43B6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772D7B6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430D422B">
        <w:tblPrEx>
          <w:tblCellMar>
            <w:top w:w="0" w:type="dxa"/>
            <w:left w:w="108" w:type="dxa"/>
            <w:bottom w:w="0" w:type="dxa"/>
            <w:right w:w="108" w:type="dxa"/>
          </w:tblCellMar>
        </w:tblPrEx>
        <w:trPr>
          <w:trHeight w:val="90" w:hRule="atLeast"/>
          <w:jc w:val="center"/>
        </w:trPr>
        <w:tc>
          <w:tcPr>
            <w:tcW w:w="1560" w:type="dxa"/>
            <w:vMerge w:val="continue"/>
            <w:tcBorders>
              <w:left w:val="nil"/>
              <w:right w:val="single" w:color="auto" w:sz="8" w:space="0"/>
            </w:tcBorders>
            <w:noWrap w:val="0"/>
            <w:vAlign w:val="center"/>
          </w:tcPr>
          <w:p w14:paraId="3C680B34">
            <w:pPr>
              <w:widowControl/>
              <w:jc w:val="center"/>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EB4D6D7">
            <w:pPr>
              <w:widowControl/>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夜间营业商铺占比</w:t>
            </w:r>
          </w:p>
        </w:tc>
        <w:tc>
          <w:tcPr>
            <w:tcW w:w="1238" w:type="dxa"/>
            <w:tcBorders>
              <w:top w:val="nil"/>
              <w:left w:val="nil"/>
              <w:bottom w:val="single" w:color="auto" w:sz="8" w:space="0"/>
              <w:right w:val="single" w:color="auto" w:sz="8" w:space="0"/>
            </w:tcBorders>
            <w:noWrap w:val="0"/>
            <w:vAlign w:val="center"/>
          </w:tcPr>
          <w:p w14:paraId="496C216B">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100" w:type="dxa"/>
            <w:tcBorders>
              <w:top w:val="nil"/>
              <w:left w:val="nil"/>
              <w:bottom w:val="single" w:color="auto" w:sz="8" w:space="0"/>
              <w:right w:val="nil"/>
            </w:tcBorders>
            <w:noWrap/>
            <w:vAlign w:val="center"/>
          </w:tcPr>
          <w:p w14:paraId="3A05898C">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02E7BBCB">
            <w:pPr>
              <w:widowControl/>
              <w:jc w:val="center"/>
              <w:rPr>
                <w:rFonts w:hint="default" w:ascii="Times New Roman" w:hAnsi="Times New Roman" w:eastAsia="宋体"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33E19CB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0D6D9DD5">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7FF0F25F">
        <w:tblPrEx>
          <w:tblCellMar>
            <w:top w:w="0" w:type="dxa"/>
            <w:left w:w="108" w:type="dxa"/>
            <w:bottom w:w="0" w:type="dxa"/>
            <w:right w:w="108" w:type="dxa"/>
          </w:tblCellMar>
        </w:tblPrEx>
        <w:trPr>
          <w:trHeight w:val="90" w:hRule="atLeast"/>
          <w:jc w:val="center"/>
        </w:trPr>
        <w:tc>
          <w:tcPr>
            <w:tcW w:w="1560" w:type="dxa"/>
            <w:vMerge w:val="continue"/>
            <w:tcBorders>
              <w:left w:val="nil"/>
              <w:right w:val="single" w:color="auto" w:sz="8" w:space="0"/>
            </w:tcBorders>
            <w:noWrap w:val="0"/>
            <w:vAlign w:val="center"/>
          </w:tcPr>
          <w:p w14:paraId="3F3AC792">
            <w:pPr>
              <w:widowControl/>
              <w:jc w:val="center"/>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12B24BB7">
            <w:pPr>
              <w:widowControl/>
              <w:jc w:val="left"/>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eastAsia="zh-CN"/>
              </w:rPr>
              <w:t>其中：</w:t>
            </w:r>
            <w:r>
              <w:rPr>
                <w:rFonts w:hint="default" w:ascii="Times New Roman" w:hAnsi="Times New Roman" w:cs="Times New Roman"/>
                <w:color w:val="000000"/>
                <w:kern w:val="0"/>
                <w:lang w:val="en-US" w:eastAsia="zh-CN"/>
              </w:rPr>
              <w:t>24小时营业商铺数量</w:t>
            </w:r>
          </w:p>
        </w:tc>
        <w:tc>
          <w:tcPr>
            <w:tcW w:w="1238" w:type="dxa"/>
            <w:tcBorders>
              <w:top w:val="nil"/>
              <w:left w:val="nil"/>
              <w:bottom w:val="single" w:color="auto" w:sz="8" w:space="0"/>
              <w:right w:val="single" w:color="auto" w:sz="8" w:space="0"/>
            </w:tcBorders>
            <w:noWrap w:val="0"/>
            <w:vAlign w:val="center"/>
          </w:tcPr>
          <w:p w14:paraId="4CFE7B62">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4701DD25">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5203B098">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55E064B3">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2B590920">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r>
      <w:tr w14:paraId="07BBA4F5">
        <w:tblPrEx>
          <w:tblCellMar>
            <w:top w:w="0" w:type="dxa"/>
            <w:left w:w="108" w:type="dxa"/>
            <w:bottom w:w="0" w:type="dxa"/>
            <w:right w:w="108" w:type="dxa"/>
          </w:tblCellMar>
        </w:tblPrEx>
        <w:trPr>
          <w:trHeight w:val="90" w:hRule="atLeast"/>
          <w:jc w:val="center"/>
        </w:trPr>
        <w:tc>
          <w:tcPr>
            <w:tcW w:w="1560" w:type="dxa"/>
            <w:vMerge w:val="continue"/>
            <w:tcBorders>
              <w:left w:val="nil"/>
              <w:right w:val="single" w:color="auto" w:sz="8" w:space="0"/>
            </w:tcBorders>
            <w:noWrap w:val="0"/>
            <w:vAlign w:val="center"/>
          </w:tcPr>
          <w:p w14:paraId="561952B2">
            <w:pPr>
              <w:widowControl/>
              <w:jc w:val="center"/>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815E218">
            <w:pPr>
              <w:widowControl/>
              <w:ind w:firstLine="630" w:firstLineChars="300"/>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歇业时间不早于凌晨2点商铺数量</w:t>
            </w:r>
          </w:p>
        </w:tc>
        <w:tc>
          <w:tcPr>
            <w:tcW w:w="1238" w:type="dxa"/>
            <w:tcBorders>
              <w:top w:val="nil"/>
              <w:left w:val="nil"/>
              <w:bottom w:val="single" w:color="auto" w:sz="8" w:space="0"/>
              <w:right w:val="single" w:color="auto" w:sz="8" w:space="0"/>
            </w:tcBorders>
            <w:noWrap w:val="0"/>
            <w:vAlign w:val="center"/>
          </w:tcPr>
          <w:p w14:paraId="5BAAE1D8">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3ED7E8B2">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3CBCE1AC">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01E3AB9B">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2F4582D1">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r>
      <w:tr w14:paraId="3627CB2B">
        <w:tblPrEx>
          <w:tblCellMar>
            <w:top w:w="0" w:type="dxa"/>
            <w:left w:w="108" w:type="dxa"/>
            <w:bottom w:w="0" w:type="dxa"/>
            <w:right w:w="108" w:type="dxa"/>
          </w:tblCellMar>
        </w:tblPrEx>
        <w:trPr>
          <w:trHeight w:val="90" w:hRule="atLeast"/>
          <w:jc w:val="center"/>
        </w:trPr>
        <w:tc>
          <w:tcPr>
            <w:tcW w:w="1560" w:type="dxa"/>
            <w:vMerge w:val="continue"/>
            <w:tcBorders>
              <w:left w:val="nil"/>
              <w:right w:val="single" w:color="auto" w:sz="8" w:space="0"/>
            </w:tcBorders>
            <w:noWrap w:val="0"/>
            <w:vAlign w:val="center"/>
          </w:tcPr>
          <w:p w14:paraId="2E4B2B71">
            <w:pPr>
              <w:widowControl/>
              <w:jc w:val="center"/>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3ABDC5A5">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品牌数量</w:t>
            </w:r>
          </w:p>
        </w:tc>
        <w:tc>
          <w:tcPr>
            <w:tcW w:w="1238" w:type="dxa"/>
            <w:tcBorders>
              <w:top w:val="nil"/>
              <w:left w:val="nil"/>
              <w:bottom w:val="single" w:color="auto" w:sz="8" w:space="0"/>
              <w:right w:val="single" w:color="auto" w:sz="8" w:space="0"/>
            </w:tcBorders>
            <w:noWrap w:val="0"/>
            <w:vAlign w:val="center"/>
          </w:tcPr>
          <w:p w14:paraId="04089ED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7823053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23F6CFD8">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5739AFD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192A086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70E53BF2">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555A7F8D">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F453097">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其中：零售</w:t>
            </w:r>
          </w:p>
        </w:tc>
        <w:tc>
          <w:tcPr>
            <w:tcW w:w="1238" w:type="dxa"/>
            <w:tcBorders>
              <w:top w:val="nil"/>
              <w:left w:val="nil"/>
              <w:bottom w:val="single" w:color="auto" w:sz="8" w:space="0"/>
              <w:right w:val="single" w:color="auto" w:sz="8" w:space="0"/>
            </w:tcBorders>
            <w:noWrap w:val="0"/>
            <w:vAlign w:val="center"/>
          </w:tcPr>
          <w:p w14:paraId="39097090">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6CE8B21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26F97E60">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08281F5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552659A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79F4290D">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5A8D23F0">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3477162C">
            <w:pPr>
              <w:widowControl/>
              <w:ind w:firstLine="210" w:firstLineChars="100"/>
              <w:jc w:val="left"/>
              <w:rPr>
                <w:rFonts w:hint="default" w:ascii="Times New Roman" w:hAnsi="Times New Roman" w:cs="Times New Roman"/>
                <w:color w:val="000000"/>
                <w:kern w:val="0"/>
              </w:rPr>
            </w:pPr>
            <w:r>
              <w:rPr>
                <w:rFonts w:hint="default" w:ascii="Times New Roman" w:hAnsi="Times New Roman" w:cs="Times New Roman"/>
                <w:color w:val="000000"/>
                <w:kern w:val="0"/>
              </w:rPr>
              <w:t xml:space="preserve">    餐饮</w:t>
            </w:r>
          </w:p>
        </w:tc>
        <w:tc>
          <w:tcPr>
            <w:tcW w:w="1238" w:type="dxa"/>
            <w:tcBorders>
              <w:top w:val="nil"/>
              <w:left w:val="nil"/>
              <w:bottom w:val="single" w:color="auto" w:sz="8" w:space="0"/>
              <w:right w:val="single" w:color="auto" w:sz="8" w:space="0"/>
            </w:tcBorders>
            <w:noWrap w:val="0"/>
            <w:vAlign w:val="center"/>
          </w:tcPr>
          <w:p w14:paraId="0AA865F1">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561BB35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5A27F5A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10290C0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4E21B9AE">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352B9309">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6CCEB2AC">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391ECCE7">
            <w:pPr>
              <w:widowControl/>
              <w:ind w:firstLine="210" w:firstLineChars="100"/>
              <w:jc w:val="left"/>
              <w:rPr>
                <w:rFonts w:hint="default" w:ascii="Times New Roman" w:hAnsi="Times New Roman" w:cs="Times New Roman"/>
                <w:color w:val="000000"/>
                <w:kern w:val="0"/>
              </w:rPr>
            </w:pPr>
            <w:r>
              <w:rPr>
                <w:rFonts w:hint="default" w:ascii="Times New Roman" w:hAnsi="Times New Roman" w:cs="Times New Roman"/>
                <w:color w:val="000000"/>
                <w:kern w:val="0"/>
              </w:rPr>
              <w:t xml:space="preserve">    文娱休闲</w:t>
            </w:r>
          </w:p>
        </w:tc>
        <w:tc>
          <w:tcPr>
            <w:tcW w:w="1238" w:type="dxa"/>
            <w:tcBorders>
              <w:top w:val="nil"/>
              <w:left w:val="nil"/>
              <w:bottom w:val="single" w:color="auto" w:sz="8" w:space="0"/>
              <w:right w:val="single" w:color="auto" w:sz="8" w:space="0"/>
            </w:tcBorders>
            <w:noWrap w:val="0"/>
            <w:vAlign w:val="center"/>
          </w:tcPr>
          <w:p w14:paraId="230EDB3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3BAD0F8A">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3A00C57A">
            <w:pPr>
              <w:widowControl/>
              <w:jc w:val="center"/>
              <w:rPr>
                <w:rFonts w:hint="default" w:ascii="Times New Roman" w:hAnsi="Times New Roman" w:eastAsia="宋体"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37E8D15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4458234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3EF89FFF">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4C41B8F6">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E5A1BC1">
            <w:pPr>
              <w:widowControl/>
              <w:ind w:firstLine="210" w:firstLineChars="100"/>
              <w:jc w:val="left"/>
              <w:rPr>
                <w:rFonts w:hint="default" w:ascii="Times New Roman" w:hAnsi="Times New Roman" w:cs="Times New Roman"/>
                <w:color w:val="000000"/>
                <w:kern w:val="0"/>
              </w:rPr>
            </w:pPr>
            <w:r>
              <w:rPr>
                <w:rFonts w:hint="default" w:ascii="Times New Roman" w:hAnsi="Times New Roman" w:cs="Times New Roman"/>
                <w:color w:val="000000"/>
                <w:kern w:val="0"/>
              </w:rPr>
              <w:t xml:space="preserve">    其他服务业</w:t>
            </w:r>
          </w:p>
        </w:tc>
        <w:tc>
          <w:tcPr>
            <w:tcW w:w="1238" w:type="dxa"/>
            <w:tcBorders>
              <w:top w:val="nil"/>
              <w:left w:val="nil"/>
              <w:bottom w:val="single" w:color="auto" w:sz="8" w:space="0"/>
              <w:right w:val="single" w:color="auto" w:sz="8" w:space="0"/>
            </w:tcBorders>
            <w:noWrap w:val="0"/>
            <w:vAlign w:val="center"/>
          </w:tcPr>
          <w:p w14:paraId="2D53FDC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6CE39A8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7778C9E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1B0AB2B0">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6518B50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244E3664">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12D4D6A1">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12DA6E97">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旗舰店数量</w:t>
            </w:r>
          </w:p>
        </w:tc>
        <w:tc>
          <w:tcPr>
            <w:tcW w:w="1238" w:type="dxa"/>
            <w:tcBorders>
              <w:top w:val="nil"/>
              <w:left w:val="nil"/>
              <w:bottom w:val="single" w:color="auto" w:sz="8" w:space="0"/>
              <w:right w:val="single" w:color="auto" w:sz="8" w:space="0"/>
            </w:tcBorders>
            <w:noWrap w:val="0"/>
            <w:vAlign w:val="center"/>
          </w:tcPr>
          <w:p w14:paraId="0279FB1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463E5EB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2507EBB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0CB6A2D5">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11373725">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53F28F3E">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7CC5D572">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5C603D2E">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首店数量</w:t>
            </w:r>
          </w:p>
        </w:tc>
        <w:tc>
          <w:tcPr>
            <w:tcW w:w="1238" w:type="dxa"/>
            <w:tcBorders>
              <w:top w:val="nil"/>
              <w:left w:val="nil"/>
              <w:bottom w:val="single" w:color="auto" w:sz="8" w:space="0"/>
              <w:right w:val="single" w:color="auto" w:sz="8" w:space="0"/>
            </w:tcBorders>
            <w:noWrap w:val="0"/>
            <w:vAlign w:val="center"/>
          </w:tcPr>
          <w:p w14:paraId="09664E1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034DB25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29A531DE">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2ED29981">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7884C0A1">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2138B3F9">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1FFA704F">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FFBE04A">
            <w:pPr>
              <w:widowControl/>
              <w:jc w:val="left"/>
              <w:rPr>
                <w:rFonts w:hint="default" w:ascii="Times New Roman" w:hAnsi="Times New Roman" w:eastAsia="宋体" w:cs="Times New Roman"/>
                <w:color w:val="000000"/>
                <w:kern w:val="0"/>
                <w:lang w:eastAsia="zh-CN"/>
              </w:rPr>
            </w:pPr>
            <w:r>
              <w:rPr>
                <w:rFonts w:hint="default" w:ascii="Times New Roman" w:hAnsi="Times New Roman" w:cs="Times New Roman"/>
                <w:color w:val="000000"/>
                <w:kern w:val="0"/>
                <w:lang w:eastAsia="zh-CN"/>
              </w:rPr>
              <w:t>品牌连锁率</w:t>
            </w:r>
          </w:p>
        </w:tc>
        <w:tc>
          <w:tcPr>
            <w:tcW w:w="1238" w:type="dxa"/>
            <w:tcBorders>
              <w:top w:val="nil"/>
              <w:left w:val="nil"/>
              <w:bottom w:val="single" w:color="auto" w:sz="8" w:space="0"/>
              <w:right w:val="single" w:color="auto" w:sz="8" w:space="0"/>
            </w:tcBorders>
            <w:noWrap w:val="0"/>
            <w:vAlign w:val="center"/>
          </w:tcPr>
          <w:p w14:paraId="49B21E14">
            <w:pPr>
              <w:widowControl/>
              <w:jc w:val="center"/>
              <w:rPr>
                <w:rFonts w:hint="default" w:ascii="Times New Roman" w:hAnsi="Times New Roman" w:eastAsia="宋体" w:cs="Times New Roman"/>
                <w:color w:val="000000"/>
                <w:kern w:val="0"/>
                <w:lang w:val="en-US" w:eastAsia="zh-CN"/>
              </w:rPr>
            </w:pPr>
            <w:r>
              <w:rPr>
                <w:rFonts w:hint="default" w:ascii="Times New Roman" w:hAnsi="Times New Roman" w:cs="Times New Roman"/>
                <w:color w:val="000000"/>
                <w:kern w:val="0"/>
                <w:lang w:val="en-US" w:eastAsia="zh-CN"/>
              </w:rPr>
              <w:t>%</w:t>
            </w:r>
          </w:p>
        </w:tc>
        <w:tc>
          <w:tcPr>
            <w:tcW w:w="1100" w:type="dxa"/>
            <w:tcBorders>
              <w:top w:val="nil"/>
              <w:left w:val="nil"/>
              <w:bottom w:val="single" w:color="auto" w:sz="8" w:space="0"/>
              <w:right w:val="nil"/>
            </w:tcBorders>
            <w:noWrap/>
            <w:vAlign w:val="center"/>
          </w:tcPr>
          <w:p w14:paraId="57CF1C45">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7948108A">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7A75EC60">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4B4BCD2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210B5E92">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36403BB5">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465923B5">
            <w:pPr>
              <w:widowControl/>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集聚区内限额以上企业数量</w:t>
            </w:r>
          </w:p>
        </w:tc>
        <w:tc>
          <w:tcPr>
            <w:tcW w:w="1238" w:type="dxa"/>
            <w:tcBorders>
              <w:top w:val="nil"/>
              <w:left w:val="nil"/>
              <w:bottom w:val="single" w:color="auto" w:sz="8" w:space="0"/>
              <w:right w:val="single" w:color="auto" w:sz="8" w:space="0"/>
            </w:tcBorders>
            <w:noWrap w:val="0"/>
            <w:vAlign w:val="center"/>
          </w:tcPr>
          <w:p w14:paraId="3E20F885">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4FE9591E">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7A3EC74D">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698837A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3CBCB02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7CFD9125">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0201C9FD">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4CB2977F">
            <w:pPr>
              <w:widowControl/>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其中：</w:t>
            </w:r>
            <w:r>
              <w:rPr>
                <w:rFonts w:hint="default" w:ascii="Times New Roman" w:hAnsi="Times New Roman" w:cs="Times New Roman"/>
                <w:color w:val="000000"/>
                <w:kern w:val="0"/>
                <w:lang w:val="en-US" w:eastAsia="zh-CN"/>
              </w:rPr>
              <w:t>零售</w:t>
            </w:r>
          </w:p>
        </w:tc>
        <w:tc>
          <w:tcPr>
            <w:tcW w:w="1238" w:type="dxa"/>
            <w:tcBorders>
              <w:top w:val="nil"/>
              <w:left w:val="nil"/>
              <w:bottom w:val="single" w:color="auto" w:sz="8" w:space="0"/>
              <w:right w:val="single" w:color="auto" w:sz="8" w:space="0"/>
            </w:tcBorders>
            <w:noWrap w:val="0"/>
            <w:vAlign w:val="center"/>
          </w:tcPr>
          <w:p w14:paraId="7E556BAB">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3EA8FEAD">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31FE45E6">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04BBA80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213D3A4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37B9465A">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120F1599">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479184F5">
            <w:pPr>
              <w:widowControl/>
              <w:jc w:val="left"/>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 xml:space="preserve">      </w:t>
            </w:r>
            <w:r>
              <w:rPr>
                <w:rFonts w:hint="default" w:ascii="Times New Roman" w:hAnsi="Times New Roman" w:cs="Times New Roman"/>
                <w:color w:val="000000"/>
                <w:kern w:val="0"/>
                <w:lang w:eastAsia="zh-CN"/>
              </w:rPr>
              <w:t>餐饮</w:t>
            </w:r>
          </w:p>
        </w:tc>
        <w:tc>
          <w:tcPr>
            <w:tcW w:w="1238" w:type="dxa"/>
            <w:tcBorders>
              <w:top w:val="nil"/>
              <w:left w:val="nil"/>
              <w:bottom w:val="single" w:color="auto" w:sz="8" w:space="0"/>
              <w:right w:val="single" w:color="auto" w:sz="8" w:space="0"/>
            </w:tcBorders>
            <w:noWrap w:val="0"/>
            <w:vAlign w:val="center"/>
          </w:tcPr>
          <w:p w14:paraId="5E921FC4">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6926CE85">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28B1D987">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78699B8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3610328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7296FED7">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3C979377">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865436C">
            <w:pPr>
              <w:widowControl/>
              <w:jc w:val="left"/>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 xml:space="preserve">      住宿</w:t>
            </w:r>
          </w:p>
        </w:tc>
        <w:tc>
          <w:tcPr>
            <w:tcW w:w="1238" w:type="dxa"/>
            <w:tcBorders>
              <w:top w:val="nil"/>
              <w:left w:val="nil"/>
              <w:bottom w:val="single" w:color="auto" w:sz="8" w:space="0"/>
              <w:right w:val="single" w:color="auto" w:sz="8" w:space="0"/>
            </w:tcBorders>
            <w:noWrap w:val="0"/>
            <w:vAlign w:val="center"/>
          </w:tcPr>
          <w:p w14:paraId="38E3036E">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5B7F24A2">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3A0D4F4D">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61B12D3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4A1EA9E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71943EB9">
        <w:tblPrEx>
          <w:tblCellMar>
            <w:top w:w="0" w:type="dxa"/>
            <w:left w:w="108" w:type="dxa"/>
            <w:bottom w:w="0" w:type="dxa"/>
            <w:right w:w="108" w:type="dxa"/>
          </w:tblCellMar>
        </w:tblPrEx>
        <w:trPr>
          <w:trHeight w:val="312" w:hRule="atLeast"/>
          <w:jc w:val="center"/>
        </w:trPr>
        <w:tc>
          <w:tcPr>
            <w:tcW w:w="1560" w:type="dxa"/>
            <w:vMerge w:val="continue"/>
            <w:tcBorders>
              <w:left w:val="nil"/>
              <w:bottom w:val="single" w:color="000000" w:sz="8" w:space="0"/>
              <w:right w:val="single" w:color="auto" w:sz="8" w:space="0"/>
            </w:tcBorders>
            <w:noWrap w:val="0"/>
            <w:vAlign w:val="center"/>
          </w:tcPr>
          <w:p w14:paraId="169790CC">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37A7F47">
            <w:pPr>
              <w:widowControl/>
              <w:jc w:val="left"/>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 xml:space="preserve">      批发</w:t>
            </w:r>
          </w:p>
        </w:tc>
        <w:tc>
          <w:tcPr>
            <w:tcW w:w="1238" w:type="dxa"/>
            <w:tcBorders>
              <w:top w:val="nil"/>
              <w:left w:val="nil"/>
              <w:bottom w:val="single" w:color="auto" w:sz="8" w:space="0"/>
              <w:right w:val="single" w:color="auto" w:sz="8" w:space="0"/>
            </w:tcBorders>
            <w:noWrap w:val="0"/>
            <w:vAlign w:val="center"/>
          </w:tcPr>
          <w:p w14:paraId="16D807EB">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个</w:t>
            </w:r>
          </w:p>
        </w:tc>
        <w:tc>
          <w:tcPr>
            <w:tcW w:w="1100" w:type="dxa"/>
            <w:tcBorders>
              <w:top w:val="nil"/>
              <w:left w:val="nil"/>
              <w:bottom w:val="single" w:color="auto" w:sz="8" w:space="0"/>
              <w:right w:val="nil"/>
            </w:tcBorders>
            <w:noWrap/>
            <w:vAlign w:val="center"/>
          </w:tcPr>
          <w:p w14:paraId="68E7B115">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7455FD83">
            <w:pPr>
              <w:widowControl/>
              <w:jc w:val="center"/>
              <w:rPr>
                <w:rFonts w:hint="default" w:ascii="Times New Roman" w:hAnsi="Times New Roman" w:cs="Times New Roman"/>
                <w:color w:val="000000"/>
                <w:kern w:val="0"/>
                <w:lang w:val="en-US" w:eastAsia="zh-CN"/>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44DC20F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6D4BDC7D">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76861F3D">
        <w:tblPrEx>
          <w:tblCellMar>
            <w:top w:w="0" w:type="dxa"/>
            <w:left w:w="108" w:type="dxa"/>
            <w:bottom w:w="0" w:type="dxa"/>
            <w:right w:w="108" w:type="dxa"/>
          </w:tblCellMar>
        </w:tblPrEx>
        <w:trPr>
          <w:trHeight w:val="312" w:hRule="atLeast"/>
          <w:jc w:val="center"/>
        </w:trPr>
        <w:tc>
          <w:tcPr>
            <w:tcW w:w="1560" w:type="dxa"/>
            <w:vMerge w:val="restart"/>
            <w:tcBorders>
              <w:top w:val="nil"/>
              <w:left w:val="nil"/>
              <w:bottom w:val="single" w:color="000000" w:sz="8" w:space="0"/>
              <w:right w:val="single" w:color="auto" w:sz="8" w:space="0"/>
            </w:tcBorders>
            <w:noWrap/>
            <w:vAlign w:val="center"/>
          </w:tcPr>
          <w:p w14:paraId="78FCE1F5">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eastAsia="zh-CN"/>
              </w:rPr>
              <w:t>三</w:t>
            </w:r>
            <w:r>
              <w:rPr>
                <w:rFonts w:hint="default" w:ascii="Times New Roman" w:hAnsi="Times New Roman" w:cs="Times New Roman"/>
                <w:color w:val="000000"/>
                <w:kern w:val="0"/>
              </w:rPr>
              <w:t>、文化保护</w:t>
            </w:r>
          </w:p>
        </w:tc>
        <w:tc>
          <w:tcPr>
            <w:tcW w:w="2793" w:type="dxa"/>
            <w:tcBorders>
              <w:top w:val="nil"/>
              <w:left w:val="nil"/>
              <w:bottom w:val="single" w:color="auto" w:sz="8" w:space="0"/>
              <w:right w:val="single" w:color="auto" w:sz="8" w:space="0"/>
            </w:tcBorders>
            <w:noWrap/>
            <w:vAlign w:val="center"/>
          </w:tcPr>
          <w:p w14:paraId="466734FC">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中华老字号品牌</w:t>
            </w:r>
          </w:p>
        </w:tc>
        <w:tc>
          <w:tcPr>
            <w:tcW w:w="1238" w:type="dxa"/>
            <w:tcBorders>
              <w:top w:val="nil"/>
              <w:left w:val="nil"/>
              <w:bottom w:val="single" w:color="auto" w:sz="8" w:space="0"/>
              <w:right w:val="single" w:color="auto" w:sz="8" w:space="0"/>
            </w:tcBorders>
            <w:noWrap w:val="0"/>
            <w:vAlign w:val="center"/>
          </w:tcPr>
          <w:p w14:paraId="02292B4D">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3251C780">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09D2333E">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2C8D48E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3ECC552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3922F470">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2041CADE">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76E921D4">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lang w:eastAsia="zh-CN"/>
              </w:rPr>
              <w:t>广西</w:t>
            </w:r>
            <w:r>
              <w:rPr>
                <w:rFonts w:hint="default" w:ascii="Times New Roman" w:hAnsi="Times New Roman" w:cs="Times New Roman"/>
                <w:color w:val="000000"/>
                <w:kern w:val="0"/>
              </w:rPr>
              <w:t>老字号品牌</w:t>
            </w:r>
          </w:p>
        </w:tc>
        <w:tc>
          <w:tcPr>
            <w:tcW w:w="1238" w:type="dxa"/>
            <w:tcBorders>
              <w:top w:val="nil"/>
              <w:left w:val="nil"/>
              <w:bottom w:val="single" w:color="auto" w:sz="8" w:space="0"/>
              <w:right w:val="single" w:color="auto" w:sz="8" w:space="0"/>
            </w:tcBorders>
            <w:noWrap w:val="0"/>
            <w:vAlign w:val="center"/>
          </w:tcPr>
          <w:p w14:paraId="3DD3809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2DCEF0E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057EF77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67A8961D">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2E7B4041">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5511B1E0">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338A8452">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EEDBD76">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世界级</w:t>
            </w:r>
            <w:r>
              <w:rPr>
                <w:rFonts w:hint="default" w:ascii="Times New Roman" w:hAnsi="Times New Roman" w:cs="Times New Roman"/>
                <w:color w:val="000000"/>
                <w:kern w:val="0"/>
                <w:lang w:eastAsia="zh-CN"/>
              </w:rPr>
              <w:t>、国家级、自治区级</w:t>
            </w:r>
            <w:r>
              <w:rPr>
                <w:rFonts w:hint="default" w:ascii="Times New Roman" w:hAnsi="Times New Roman" w:cs="Times New Roman"/>
                <w:color w:val="000000"/>
                <w:kern w:val="0"/>
              </w:rPr>
              <w:t>非遗项目</w:t>
            </w:r>
          </w:p>
        </w:tc>
        <w:tc>
          <w:tcPr>
            <w:tcW w:w="1238" w:type="dxa"/>
            <w:tcBorders>
              <w:top w:val="nil"/>
              <w:left w:val="nil"/>
              <w:bottom w:val="single" w:color="auto" w:sz="8" w:space="0"/>
              <w:right w:val="single" w:color="auto" w:sz="8" w:space="0"/>
            </w:tcBorders>
            <w:noWrap w:val="0"/>
            <w:vAlign w:val="center"/>
          </w:tcPr>
          <w:p w14:paraId="32AFFE3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0FD250C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45E02F0E">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46C8572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2D51B39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4D08B33C">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6E6552A0">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160A2C71">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美术馆、艺术馆</w:t>
            </w:r>
          </w:p>
        </w:tc>
        <w:tc>
          <w:tcPr>
            <w:tcW w:w="1238" w:type="dxa"/>
            <w:tcBorders>
              <w:top w:val="nil"/>
              <w:left w:val="nil"/>
              <w:bottom w:val="single" w:color="auto" w:sz="8" w:space="0"/>
              <w:right w:val="single" w:color="auto" w:sz="8" w:space="0"/>
            </w:tcBorders>
            <w:noWrap w:val="0"/>
            <w:vAlign w:val="center"/>
          </w:tcPr>
          <w:p w14:paraId="6826E5C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4675C14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2BC177B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2A58491B">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c>
          <w:tcPr>
            <w:tcW w:w="1076" w:type="dxa"/>
            <w:tcBorders>
              <w:top w:val="nil"/>
              <w:left w:val="single" w:color="auto" w:sz="8" w:space="0"/>
              <w:bottom w:val="single" w:color="auto" w:sz="8" w:space="0"/>
              <w:right w:val="nil"/>
            </w:tcBorders>
            <w:noWrap w:val="0"/>
            <w:vAlign w:val="center"/>
          </w:tcPr>
          <w:p w14:paraId="4F7D392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r>
              <w:rPr>
                <w:rFonts w:hint="default" w:ascii="Times New Roman" w:hAnsi="Times New Roman" w:cs="Times New Roman"/>
                <w:color w:val="000000"/>
                <w:kern w:val="0"/>
              </w:rPr>
              <w:t>　</w:t>
            </w:r>
          </w:p>
        </w:tc>
      </w:tr>
      <w:tr w14:paraId="45E640E8">
        <w:tblPrEx>
          <w:tblCellMar>
            <w:top w:w="0" w:type="dxa"/>
            <w:left w:w="108" w:type="dxa"/>
            <w:bottom w:w="0" w:type="dxa"/>
            <w:right w:w="108" w:type="dxa"/>
          </w:tblCellMar>
        </w:tblPrEx>
        <w:trPr>
          <w:trHeight w:val="312" w:hRule="atLeast"/>
          <w:jc w:val="center"/>
        </w:trPr>
        <w:tc>
          <w:tcPr>
            <w:tcW w:w="1560" w:type="dxa"/>
            <w:vMerge w:val="continue"/>
            <w:tcBorders>
              <w:top w:val="nil"/>
              <w:left w:val="nil"/>
              <w:bottom w:val="single" w:color="000000" w:sz="8" w:space="0"/>
              <w:right w:val="single" w:color="auto" w:sz="8" w:space="0"/>
            </w:tcBorders>
            <w:noWrap w:val="0"/>
            <w:vAlign w:val="center"/>
          </w:tcPr>
          <w:p w14:paraId="5B21390F">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533AEA28">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博物馆</w:t>
            </w:r>
          </w:p>
        </w:tc>
        <w:tc>
          <w:tcPr>
            <w:tcW w:w="1238" w:type="dxa"/>
            <w:tcBorders>
              <w:top w:val="nil"/>
              <w:left w:val="nil"/>
              <w:bottom w:val="single" w:color="auto" w:sz="8" w:space="0"/>
              <w:right w:val="single" w:color="auto" w:sz="8" w:space="0"/>
            </w:tcBorders>
            <w:noWrap w:val="0"/>
            <w:vAlign w:val="center"/>
          </w:tcPr>
          <w:p w14:paraId="680C3DEE">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个</w:t>
            </w:r>
          </w:p>
        </w:tc>
        <w:tc>
          <w:tcPr>
            <w:tcW w:w="1100" w:type="dxa"/>
            <w:tcBorders>
              <w:top w:val="nil"/>
              <w:left w:val="nil"/>
              <w:bottom w:val="single" w:color="auto" w:sz="8" w:space="0"/>
              <w:right w:val="nil"/>
            </w:tcBorders>
            <w:noWrap/>
            <w:vAlign w:val="center"/>
          </w:tcPr>
          <w:p w14:paraId="6D0986D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6B35357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87" w:type="dxa"/>
            <w:tcBorders>
              <w:top w:val="nil"/>
              <w:left w:val="single" w:color="auto" w:sz="8" w:space="0"/>
              <w:bottom w:val="single" w:color="auto" w:sz="8" w:space="0"/>
              <w:right w:val="nil"/>
            </w:tcBorders>
            <w:noWrap w:val="0"/>
            <w:vAlign w:val="center"/>
          </w:tcPr>
          <w:p w14:paraId="1061735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c>
          <w:tcPr>
            <w:tcW w:w="1076" w:type="dxa"/>
            <w:tcBorders>
              <w:top w:val="nil"/>
              <w:left w:val="single" w:color="auto" w:sz="8" w:space="0"/>
              <w:bottom w:val="single" w:color="auto" w:sz="8" w:space="0"/>
              <w:right w:val="nil"/>
            </w:tcBorders>
            <w:noWrap w:val="0"/>
            <w:vAlign w:val="center"/>
          </w:tcPr>
          <w:p w14:paraId="0690BA9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val="en-US" w:eastAsia="zh-CN"/>
              </w:rPr>
              <w:t>/</w:t>
            </w:r>
          </w:p>
        </w:tc>
      </w:tr>
      <w:tr w14:paraId="132E0F50">
        <w:tblPrEx>
          <w:tblCellMar>
            <w:top w:w="0" w:type="dxa"/>
            <w:left w:w="108" w:type="dxa"/>
            <w:bottom w:w="0" w:type="dxa"/>
            <w:right w:w="108" w:type="dxa"/>
          </w:tblCellMar>
        </w:tblPrEx>
        <w:trPr>
          <w:trHeight w:val="312" w:hRule="atLeast"/>
          <w:jc w:val="center"/>
        </w:trPr>
        <w:tc>
          <w:tcPr>
            <w:tcW w:w="1560" w:type="dxa"/>
            <w:vMerge w:val="restart"/>
            <w:tcBorders>
              <w:top w:val="nil"/>
              <w:left w:val="nil"/>
              <w:right w:val="single" w:color="auto" w:sz="8" w:space="0"/>
            </w:tcBorders>
            <w:noWrap/>
            <w:vAlign w:val="center"/>
          </w:tcPr>
          <w:p w14:paraId="66E0428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lang w:eastAsia="zh-CN"/>
              </w:rPr>
              <w:t>四</w:t>
            </w:r>
            <w:r>
              <w:rPr>
                <w:rFonts w:hint="default" w:ascii="Times New Roman" w:hAnsi="Times New Roman" w:cs="Times New Roman"/>
                <w:color w:val="000000"/>
                <w:kern w:val="0"/>
              </w:rPr>
              <w:t>、消费客流</w:t>
            </w:r>
          </w:p>
        </w:tc>
        <w:tc>
          <w:tcPr>
            <w:tcW w:w="2793" w:type="dxa"/>
            <w:tcBorders>
              <w:top w:val="nil"/>
              <w:left w:val="nil"/>
              <w:bottom w:val="single" w:color="auto" w:sz="8" w:space="0"/>
              <w:right w:val="single" w:color="auto" w:sz="8" w:space="0"/>
            </w:tcBorders>
            <w:noWrap/>
            <w:vAlign w:val="center"/>
          </w:tcPr>
          <w:p w14:paraId="6B88738A">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lang w:eastAsia="zh-CN"/>
              </w:rPr>
              <w:t>年</w:t>
            </w:r>
            <w:r>
              <w:rPr>
                <w:rFonts w:hint="default" w:ascii="Times New Roman" w:hAnsi="Times New Roman" w:cs="Times New Roman"/>
                <w:color w:val="000000"/>
                <w:kern w:val="0"/>
              </w:rPr>
              <w:t>客流量</w:t>
            </w:r>
          </w:p>
        </w:tc>
        <w:tc>
          <w:tcPr>
            <w:tcW w:w="1238" w:type="dxa"/>
            <w:tcBorders>
              <w:top w:val="nil"/>
              <w:left w:val="nil"/>
              <w:bottom w:val="single" w:color="auto" w:sz="8" w:space="0"/>
              <w:right w:val="single" w:color="auto" w:sz="8" w:space="0"/>
            </w:tcBorders>
            <w:noWrap w:val="0"/>
            <w:vAlign w:val="center"/>
          </w:tcPr>
          <w:p w14:paraId="081F47A0">
            <w:pPr>
              <w:widowControl/>
              <w:jc w:val="center"/>
              <w:rPr>
                <w:rFonts w:hint="default" w:ascii="Times New Roman" w:hAnsi="Times New Roman" w:eastAsia="宋体" w:cs="Times New Roman"/>
                <w:color w:val="000000"/>
                <w:kern w:val="0"/>
                <w:lang w:val="en-US" w:eastAsia="zh-CN"/>
              </w:rPr>
            </w:pPr>
            <w:r>
              <w:rPr>
                <w:rFonts w:hint="default" w:ascii="Times New Roman" w:hAnsi="Times New Roman" w:cs="Times New Roman"/>
                <w:color w:val="000000"/>
                <w:kern w:val="0"/>
              </w:rPr>
              <w:t>万人次</w:t>
            </w:r>
            <w:r>
              <w:rPr>
                <w:rFonts w:hint="default" w:ascii="Times New Roman" w:hAnsi="Times New Roman" w:cs="Times New Roman"/>
                <w:color w:val="000000"/>
                <w:kern w:val="0"/>
                <w:lang w:val="en-US" w:eastAsia="zh-CN"/>
              </w:rPr>
              <w:t>/年</w:t>
            </w:r>
          </w:p>
        </w:tc>
        <w:tc>
          <w:tcPr>
            <w:tcW w:w="1100" w:type="dxa"/>
            <w:tcBorders>
              <w:top w:val="nil"/>
              <w:left w:val="nil"/>
              <w:bottom w:val="single" w:color="auto" w:sz="8" w:space="0"/>
              <w:right w:val="nil"/>
            </w:tcBorders>
            <w:noWrap/>
            <w:vAlign w:val="center"/>
          </w:tcPr>
          <w:p w14:paraId="6673F6A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4DA1CDBE">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345F4F3D">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27574BF4">
            <w:pPr>
              <w:widowControl/>
              <w:jc w:val="center"/>
              <w:rPr>
                <w:rFonts w:hint="default" w:ascii="Times New Roman" w:hAnsi="Times New Roman" w:cs="Times New Roman"/>
                <w:color w:val="000000"/>
                <w:kern w:val="0"/>
              </w:rPr>
            </w:pPr>
          </w:p>
        </w:tc>
      </w:tr>
      <w:tr w14:paraId="4ED3A2A7">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594F55EF">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47B7FEFC">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其中：工作日日均</w:t>
            </w:r>
          </w:p>
        </w:tc>
        <w:tc>
          <w:tcPr>
            <w:tcW w:w="1238" w:type="dxa"/>
            <w:tcBorders>
              <w:top w:val="nil"/>
              <w:left w:val="nil"/>
              <w:bottom w:val="single" w:color="auto" w:sz="8" w:space="0"/>
              <w:right w:val="single" w:color="auto" w:sz="8" w:space="0"/>
            </w:tcBorders>
            <w:noWrap w:val="0"/>
            <w:vAlign w:val="top"/>
          </w:tcPr>
          <w:p w14:paraId="1EBEABF9">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7D345DB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6509296C">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0558DCF4">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0591958C">
            <w:pPr>
              <w:widowControl/>
              <w:jc w:val="center"/>
              <w:rPr>
                <w:rFonts w:hint="default" w:ascii="Times New Roman" w:hAnsi="Times New Roman" w:cs="Times New Roman"/>
                <w:color w:val="000000"/>
                <w:kern w:val="0"/>
              </w:rPr>
            </w:pPr>
          </w:p>
        </w:tc>
      </w:tr>
      <w:tr w14:paraId="7E92107B">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59CC2291">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6013C776">
            <w:pPr>
              <w:widowControl/>
              <w:ind w:firstLine="630" w:firstLineChars="300"/>
              <w:jc w:val="left"/>
              <w:rPr>
                <w:rFonts w:hint="default" w:ascii="Times New Roman" w:hAnsi="Times New Roman" w:cs="Times New Roman"/>
                <w:color w:val="000000"/>
                <w:kern w:val="0"/>
              </w:rPr>
            </w:pPr>
            <w:r>
              <w:rPr>
                <w:rFonts w:hint="default" w:ascii="Times New Roman" w:hAnsi="Times New Roman" w:cs="Times New Roman"/>
                <w:color w:val="000000"/>
                <w:kern w:val="0"/>
              </w:rPr>
              <w:t>周末日均</w:t>
            </w:r>
          </w:p>
        </w:tc>
        <w:tc>
          <w:tcPr>
            <w:tcW w:w="1238" w:type="dxa"/>
            <w:tcBorders>
              <w:top w:val="nil"/>
              <w:left w:val="nil"/>
              <w:bottom w:val="single" w:color="auto" w:sz="8" w:space="0"/>
              <w:right w:val="single" w:color="auto" w:sz="8" w:space="0"/>
            </w:tcBorders>
            <w:noWrap w:val="0"/>
            <w:vAlign w:val="top"/>
          </w:tcPr>
          <w:p w14:paraId="33E3EBE8">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4E8C132C">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058707C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64F7268D">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4A559204">
            <w:pPr>
              <w:widowControl/>
              <w:jc w:val="center"/>
              <w:rPr>
                <w:rFonts w:hint="default" w:ascii="Times New Roman" w:hAnsi="Times New Roman" w:cs="Times New Roman"/>
                <w:color w:val="000000"/>
                <w:kern w:val="0"/>
              </w:rPr>
            </w:pPr>
          </w:p>
        </w:tc>
      </w:tr>
      <w:tr w14:paraId="7C83B1E0">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7A18B133">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3E4C51E2">
            <w:pPr>
              <w:widowControl/>
              <w:ind w:firstLine="630" w:firstLineChars="300"/>
              <w:jc w:val="left"/>
              <w:rPr>
                <w:rFonts w:hint="default" w:ascii="Times New Roman" w:hAnsi="Times New Roman" w:cs="Times New Roman"/>
                <w:color w:val="000000"/>
                <w:kern w:val="0"/>
              </w:rPr>
            </w:pPr>
            <w:r>
              <w:rPr>
                <w:rFonts w:hint="default" w:ascii="Times New Roman" w:hAnsi="Times New Roman" w:cs="Times New Roman"/>
                <w:color w:val="000000"/>
                <w:kern w:val="0"/>
              </w:rPr>
              <w:t>春节黄金周日均</w:t>
            </w:r>
          </w:p>
        </w:tc>
        <w:tc>
          <w:tcPr>
            <w:tcW w:w="1238" w:type="dxa"/>
            <w:tcBorders>
              <w:top w:val="nil"/>
              <w:left w:val="nil"/>
              <w:bottom w:val="single" w:color="auto" w:sz="8" w:space="0"/>
              <w:right w:val="single" w:color="auto" w:sz="8" w:space="0"/>
            </w:tcBorders>
            <w:noWrap w:val="0"/>
            <w:vAlign w:val="top"/>
          </w:tcPr>
          <w:p w14:paraId="388E3D8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22B8CF1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6D98C1F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2B1C3315">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2E9EF24D">
            <w:pPr>
              <w:widowControl/>
              <w:jc w:val="center"/>
              <w:rPr>
                <w:rFonts w:hint="default" w:ascii="Times New Roman" w:hAnsi="Times New Roman" w:cs="Times New Roman"/>
                <w:color w:val="000000"/>
                <w:kern w:val="0"/>
              </w:rPr>
            </w:pPr>
          </w:p>
        </w:tc>
      </w:tr>
      <w:tr w14:paraId="02F85627">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38AC5A52">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3766C85D">
            <w:pPr>
              <w:widowControl/>
              <w:ind w:firstLine="630" w:firstLineChars="300"/>
              <w:jc w:val="left"/>
              <w:rPr>
                <w:rFonts w:hint="default" w:ascii="Times New Roman" w:hAnsi="Times New Roman" w:cs="Times New Roman"/>
                <w:color w:val="000000"/>
                <w:kern w:val="0"/>
              </w:rPr>
            </w:pPr>
            <w:r>
              <w:rPr>
                <w:rFonts w:hint="default" w:ascii="Times New Roman" w:hAnsi="Times New Roman" w:cs="Times New Roman"/>
                <w:color w:val="000000"/>
                <w:kern w:val="0"/>
              </w:rPr>
              <w:t>十一黄金周日均</w:t>
            </w:r>
          </w:p>
        </w:tc>
        <w:tc>
          <w:tcPr>
            <w:tcW w:w="1238" w:type="dxa"/>
            <w:tcBorders>
              <w:top w:val="nil"/>
              <w:left w:val="nil"/>
              <w:bottom w:val="single" w:color="auto" w:sz="8" w:space="0"/>
              <w:right w:val="single" w:color="auto" w:sz="8" w:space="0"/>
            </w:tcBorders>
            <w:noWrap w:val="0"/>
            <w:vAlign w:val="top"/>
          </w:tcPr>
          <w:p w14:paraId="09A0E966">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69A9E25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212" w:type="dxa"/>
            <w:tcBorders>
              <w:top w:val="nil"/>
              <w:left w:val="single" w:color="auto" w:sz="8" w:space="0"/>
              <w:bottom w:val="single" w:color="auto" w:sz="8" w:space="0"/>
              <w:right w:val="nil"/>
            </w:tcBorders>
            <w:noWrap w:val="0"/>
            <w:vAlign w:val="center"/>
          </w:tcPr>
          <w:p w14:paraId="7DC050A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　</w:t>
            </w:r>
          </w:p>
        </w:tc>
        <w:tc>
          <w:tcPr>
            <w:tcW w:w="1087" w:type="dxa"/>
            <w:tcBorders>
              <w:top w:val="nil"/>
              <w:left w:val="single" w:color="auto" w:sz="8" w:space="0"/>
              <w:bottom w:val="single" w:color="auto" w:sz="8" w:space="0"/>
              <w:right w:val="nil"/>
            </w:tcBorders>
            <w:noWrap w:val="0"/>
            <w:vAlign w:val="center"/>
          </w:tcPr>
          <w:p w14:paraId="4E5674E2">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290EDB45">
            <w:pPr>
              <w:widowControl/>
              <w:jc w:val="center"/>
              <w:rPr>
                <w:rFonts w:hint="default" w:ascii="Times New Roman" w:hAnsi="Times New Roman" w:cs="Times New Roman"/>
                <w:color w:val="000000"/>
                <w:kern w:val="0"/>
              </w:rPr>
            </w:pPr>
          </w:p>
        </w:tc>
      </w:tr>
      <w:tr w14:paraId="3F7C67E4">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341BE29F">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5E1EA1CC">
            <w:pPr>
              <w:widowControl/>
              <w:ind w:firstLine="630" w:firstLineChars="300"/>
              <w:jc w:val="left"/>
              <w:rPr>
                <w:rFonts w:hint="default" w:ascii="Times New Roman" w:hAnsi="Times New Roman" w:eastAsia="宋体" w:cs="Times New Roman"/>
                <w:color w:val="000000"/>
                <w:kern w:val="0"/>
                <w:lang w:eastAsia="zh-CN"/>
              </w:rPr>
            </w:pPr>
            <w:r>
              <w:rPr>
                <w:rFonts w:hint="default" w:ascii="Times New Roman" w:hAnsi="Times New Roman" w:cs="Times New Roman"/>
                <w:color w:val="000000"/>
                <w:kern w:val="0"/>
                <w:lang w:eastAsia="zh-CN"/>
              </w:rPr>
              <w:t>元旦假期日均</w:t>
            </w:r>
          </w:p>
        </w:tc>
        <w:tc>
          <w:tcPr>
            <w:tcW w:w="1238" w:type="dxa"/>
            <w:tcBorders>
              <w:top w:val="nil"/>
              <w:left w:val="nil"/>
              <w:bottom w:val="single" w:color="auto" w:sz="8" w:space="0"/>
              <w:right w:val="single" w:color="auto" w:sz="8" w:space="0"/>
            </w:tcBorders>
            <w:noWrap w:val="0"/>
            <w:vAlign w:val="top"/>
          </w:tcPr>
          <w:p w14:paraId="17D9AFA3">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2FC34871">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7E640CBF">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1461D3BD">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696F24CF">
            <w:pPr>
              <w:widowControl/>
              <w:jc w:val="center"/>
              <w:rPr>
                <w:rFonts w:hint="default" w:ascii="Times New Roman" w:hAnsi="Times New Roman" w:cs="Times New Roman"/>
                <w:color w:val="000000"/>
                <w:kern w:val="0"/>
              </w:rPr>
            </w:pPr>
          </w:p>
        </w:tc>
      </w:tr>
      <w:tr w14:paraId="03474A66">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5C544150">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60B0E98F">
            <w:pPr>
              <w:widowControl/>
              <w:ind w:firstLine="630" w:firstLineChars="300"/>
              <w:jc w:val="left"/>
              <w:rPr>
                <w:rFonts w:hint="default" w:ascii="Times New Roman" w:hAnsi="Times New Roman" w:eastAsia="宋体" w:cs="Times New Roman"/>
                <w:color w:val="000000"/>
                <w:kern w:val="0"/>
                <w:lang w:eastAsia="zh-CN"/>
              </w:rPr>
            </w:pPr>
            <w:r>
              <w:rPr>
                <w:rFonts w:hint="default" w:ascii="Times New Roman" w:hAnsi="Times New Roman" w:cs="Times New Roman"/>
                <w:color w:val="000000"/>
                <w:kern w:val="0"/>
                <w:lang w:eastAsia="zh-CN"/>
              </w:rPr>
              <w:t>清明假期日均</w:t>
            </w:r>
          </w:p>
        </w:tc>
        <w:tc>
          <w:tcPr>
            <w:tcW w:w="1238" w:type="dxa"/>
            <w:tcBorders>
              <w:top w:val="nil"/>
              <w:left w:val="nil"/>
              <w:bottom w:val="single" w:color="auto" w:sz="8" w:space="0"/>
              <w:right w:val="single" w:color="auto" w:sz="8" w:space="0"/>
            </w:tcBorders>
            <w:noWrap w:val="0"/>
            <w:vAlign w:val="top"/>
          </w:tcPr>
          <w:p w14:paraId="3E3795DA">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19DC2AEA">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4C311DB8">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5A2F123B">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41189834">
            <w:pPr>
              <w:widowControl/>
              <w:jc w:val="center"/>
              <w:rPr>
                <w:rFonts w:hint="default" w:ascii="Times New Roman" w:hAnsi="Times New Roman" w:cs="Times New Roman"/>
                <w:color w:val="000000"/>
                <w:kern w:val="0"/>
              </w:rPr>
            </w:pPr>
          </w:p>
        </w:tc>
      </w:tr>
      <w:tr w14:paraId="7B0C4346">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3E88DD28">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1A7FA340">
            <w:pPr>
              <w:widowControl/>
              <w:ind w:firstLine="630" w:firstLineChars="300"/>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五一假期日均</w:t>
            </w:r>
          </w:p>
        </w:tc>
        <w:tc>
          <w:tcPr>
            <w:tcW w:w="1238" w:type="dxa"/>
            <w:tcBorders>
              <w:top w:val="nil"/>
              <w:left w:val="nil"/>
              <w:bottom w:val="single" w:color="auto" w:sz="8" w:space="0"/>
              <w:right w:val="single" w:color="auto" w:sz="8" w:space="0"/>
            </w:tcBorders>
            <w:noWrap w:val="0"/>
            <w:vAlign w:val="top"/>
          </w:tcPr>
          <w:p w14:paraId="3D492DB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5ED76A9C">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6778E6AF">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54A6BEDC">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2CE31F7E">
            <w:pPr>
              <w:widowControl/>
              <w:jc w:val="center"/>
              <w:rPr>
                <w:rFonts w:hint="default" w:ascii="Times New Roman" w:hAnsi="Times New Roman" w:cs="Times New Roman"/>
                <w:color w:val="000000"/>
                <w:kern w:val="0"/>
              </w:rPr>
            </w:pPr>
          </w:p>
        </w:tc>
      </w:tr>
      <w:tr w14:paraId="71B50234">
        <w:tblPrEx>
          <w:tblCellMar>
            <w:top w:w="0" w:type="dxa"/>
            <w:left w:w="108" w:type="dxa"/>
            <w:bottom w:w="0" w:type="dxa"/>
            <w:right w:w="108" w:type="dxa"/>
          </w:tblCellMar>
        </w:tblPrEx>
        <w:trPr>
          <w:trHeight w:val="312" w:hRule="atLeast"/>
          <w:jc w:val="center"/>
        </w:trPr>
        <w:tc>
          <w:tcPr>
            <w:tcW w:w="1560" w:type="dxa"/>
            <w:vMerge w:val="continue"/>
            <w:tcBorders>
              <w:left w:val="nil"/>
              <w:right w:val="single" w:color="auto" w:sz="8" w:space="0"/>
            </w:tcBorders>
            <w:noWrap w:val="0"/>
            <w:vAlign w:val="center"/>
          </w:tcPr>
          <w:p w14:paraId="383BED5C">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58073F1D">
            <w:pPr>
              <w:widowControl/>
              <w:ind w:firstLine="630" w:firstLineChars="300"/>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端午假期日均</w:t>
            </w:r>
          </w:p>
        </w:tc>
        <w:tc>
          <w:tcPr>
            <w:tcW w:w="1238" w:type="dxa"/>
            <w:tcBorders>
              <w:top w:val="nil"/>
              <w:left w:val="nil"/>
              <w:bottom w:val="single" w:color="auto" w:sz="8" w:space="0"/>
              <w:right w:val="single" w:color="auto" w:sz="8" w:space="0"/>
            </w:tcBorders>
            <w:noWrap w:val="0"/>
            <w:vAlign w:val="top"/>
          </w:tcPr>
          <w:p w14:paraId="361D0E2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270A97A4">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1B5DF3FE">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7D9E4A7B">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6E71957E">
            <w:pPr>
              <w:widowControl/>
              <w:jc w:val="center"/>
              <w:rPr>
                <w:rFonts w:hint="default" w:ascii="Times New Roman" w:hAnsi="Times New Roman" w:cs="Times New Roman"/>
                <w:color w:val="000000"/>
                <w:kern w:val="0"/>
              </w:rPr>
            </w:pPr>
          </w:p>
        </w:tc>
      </w:tr>
      <w:tr w14:paraId="34E1C89C">
        <w:tblPrEx>
          <w:tblCellMar>
            <w:top w:w="0" w:type="dxa"/>
            <w:left w:w="108" w:type="dxa"/>
            <w:bottom w:w="0" w:type="dxa"/>
            <w:right w:w="108" w:type="dxa"/>
          </w:tblCellMar>
        </w:tblPrEx>
        <w:trPr>
          <w:trHeight w:val="312" w:hRule="atLeast"/>
          <w:jc w:val="center"/>
        </w:trPr>
        <w:tc>
          <w:tcPr>
            <w:tcW w:w="1560" w:type="dxa"/>
            <w:vMerge w:val="continue"/>
            <w:tcBorders>
              <w:left w:val="nil"/>
              <w:bottom w:val="single" w:color="000000" w:sz="8" w:space="0"/>
              <w:right w:val="single" w:color="auto" w:sz="8" w:space="0"/>
            </w:tcBorders>
            <w:noWrap w:val="0"/>
            <w:vAlign w:val="center"/>
          </w:tcPr>
          <w:p w14:paraId="55C93CBB">
            <w:pPr>
              <w:widowControl/>
              <w:jc w:val="left"/>
              <w:rPr>
                <w:rFonts w:hint="default" w:ascii="Times New Roman" w:hAnsi="Times New Roman" w:cs="Times New Roman"/>
                <w:color w:val="000000"/>
                <w:kern w:val="0"/>
              </w:rPr>
            </w:pPr>
          </w:p>
        </w:tc>
        <w:tc>
          <w:tcPr>
            <w:tcW w:w="2793" w:type="dxa"/>
            <w:tcBorders>
              <w:top w:val="nil"/>
              <w:left w:val="nil"/>
              <w:bottom w:val="single" w:color="auto" w:sz="8" w:space="0"/>
              <w:right w:val="single" w:color="auto" w:sz="8" w:space="0"/>
            </w:tcBorders>
            <w:noWrap/>
            <w:vAlign w:val="center"/>
          </w:tcPr>
          <w:p w14:paraId="23F2399C">
            <w:pPr>
              <w:widowControl/>
              <w:ind w:firstLine="630" w:firstLineChars="300"/>
              <w:jc w:val="left"/>
              <w:rPr>
                <w:rFonts w:hint="default" w:ascii="Times New Roman" w:hAnsi="Times New Roman" w:cs="Times New Roman"/>
                <w:color w:val="000000"/>
                <w:kern w:val="0"/>
                <w:lang w:eastAsia="zh-CN"/>
              </w:rPr>
            </w:pPr>
            <w:r>
              <w:rPr>
                <w:rFonts w:hint="default" w:ascii="Times New Roman" w:hAnsi="Times New Roman" w:cs="Times New Roman"/>
                <w:color w:val="000000"/>
                <w:kern w:val="0"/>
                <w:lang w:eastAsia="zh-CN"/>
              </w:rPr>
              <w:t>中秋假期日均</w:t>
            </w:r>
          </w:p>
        </w:tc>
        <w:tc>
          <w:tcPr>
            <w:tcW w:w="1238" w:type="dxa"/>
            <w:tcBorders>
              <w:top w:val="nil"/>
              <w:left w:val="nil"/>
              <w:bottom w:val="single" w:color="auto" w:sz="8" w:space="0"/>
              <w:right w:val="single" w:color="auto" w:sz="8" w:space="0"/>
            </w:tcBorders>
            <w:noWrap w:val="0"/>
            <w:vAlign w:val="top"/>
          </w:tcPr>
          <w:p w14:paraId="2470E6F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万人次/天</w:t>
            </w:r>
          </w:p>
        </w:tc>
        <w:tc>
          <w:tcPr>
            <w:tcW w:w="1100" w:type="dxa"/>
            <w:tcBorders>
              <w:top w:val="nil"/>
              <w:left w:val="nil"/>
              <w:bottom w:val="single" w:color="auto" w:sz="8" w:space="0"/>
              <w:right w:val="nil"/>
            </w:tcBorders>
            <w:noWrap/>
            <w:vAlign w:val="center"/>
          </w:tcPr>
          <w:p w14:paraId="287FD701">
            <w:pPr>
              <w:widowControl/>
              <w:jc w:val="center"/>
              <w:rPr>
                <w:rFonts w:hint="default" w:ascii="Times New Roman" w:hAnsi="Times New Roman" w:cs="Times New Roman"/>
                <w:color w:val="000000"/>
                <w:kern w:val="0"/>
              </w:rPr>
            </w:pPr>
          </w:p>
        </w:tc>
        <w:tc>
          <w:tcPr>
            <w:tcW w:w="1212" w:type="dxa"/>
            <w:tcBorders>
              <w:top w:val="nil"/>
              <w:left w:val="single" w:color="auto" w:sz="8" w:space="0"/>
              <w:bottom w:val="single" w:color="auto" w:sz="8" w:space="0"/>
              <w:right w:val="nil"/>
            </w:tcBorders>
            <w:noWrap w:val="0"/>
            <w:vAlign w:val="center"/>
          </w:tcPr>
          <w:p w14:paraId="53401155">
            <w:pPr>
              <w:widowControl/>
              <w:jc w:val="center"/>
              <w:rPr>
                <w:rFonts w:hint="default" w:ascii="Times New Roman" w:hAnsi="Times New Roman" w:cs="Times New Roman"/>
                <w:color w:val="000000"/>
                <w:kern w:val="0"/>
              </w:rPr>
            </w:pPr>
          </w:p>
        </w:tc>
        <w:tc>
          <w:tcPr>
            <w:tcW w:w="1087" w:type="dxa"/>
            <w:tcBorders>
              <w:top w:val="nil"/>
              <w:left w:val="single" w:color="auto" w:sz="8" w:space="0"/>
              <w:bottom w:val="single" w:color="auto" w:sz="8" w:space="0"/>
              <w:right w:val="nil"/>
            </w:tcBorders>
            <w:noWrap w:val="0"/>
            <w:vAlign w:val="center"/>
          </w:tcPr>
          <w:p w14:paraId="5A7913D8">
            <w:pPr>
              <w:widowControl/>
              <w:jc w:val="center"/>
              <w:rPr>
                <w:rFonts w:hint="default" w:ascii="Times New Roman" w:hAnsi="Times New Roman" w:cs="Times New Roman"/>
                <w:color w:val="000000"/>
                <w:kern w:val="0"/>
              </w:rPr>
            </w:pPr>
          </w:p>
        </w:tc>
        <w:tc>
          <w:tcPr>
            <w:tcW w:w="1076" w:type="dxa"/>
            <w:tcBorders>
              <w:top w:val="nil"/>
              <w:left w:val="single" w:color="auto" w:sz="8" w:space="0"/>
              <w:bottom w:val="single" w:color="auto" w:sz="8" w:space="0"/>
              <w:right w:val="nil"/>
            </w:tcBorders>
            <w:noWrap w:val="0"/>
            <w:vAlign w:val="center"/>
          </w:tcPr>
          <w:p w14:paraId="54295838">
            <w:pPr>
              <w:widowControl/>
              <w:jc w:val="center"/>
              <w:rPr>
                <w:rFonts w:hint="default" w:ascii="Times New Roman" w:hAnsi="Times New Roman" w:cs="Times New Roman"/>
                <w:color w:val="000000"/>
                <w:kern w:val="0"/>
              </w:rPr>
            </w:pPr>
          </w:p>
        </w:tc>
      </w:tr>
      <w:tr w14:paraId="3A3A279E">
        <w:tblPrEx>
          <w:tblCellMar>
            <w:top w:w="0" w:type="dxa"/>
            <w:left w:w="108" w:type="dxa"/>
            <w:bottom w:w="0" w:type="dxa"/>
            <w:right w:w="108" w:type="dxa"/>
          </w:tblCellMar>
        </w:tblPrEx>
        <w:trPr>
          <w:trHeight w:val="312" w:hRule="atLeast"/>
          <w:jc w:val="center"/>
        </w:trPr>
        <w:tc>
          <w:tcPr>
            <w:tcW w:w="1560" w:type="dxa"/>
            <w:vMerge w:val="restart"/>
            <w:tcBorders>
              <w:top w:val="single" w:color="auto" w:sz="4" w:space="0"/>
              <w:left w:val="nil"/>
              <w:bottom w:val="single" w:color="auto" w:sz="4" w:space="0"/>
              <w:right w:val="single" w:color="auto" w:sz="4" w:space="0"/>
            </w:tcBorders>
            <w:noWrap w:val="0"/>
            <w:vAlign w:val="center"/>
          </w:tcPr>
          <w:p w14:paraId="777DDFAA">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五</w:t>
            </w:r>
            <w:r>
              <w:rPr>
                <w:rFonts w:hint="default" w:ascii="Times New Roman" w:hAnsi="Times New Roman" w:cs="Times New Roman"/>
                <w:color w:val="000000"/>
                <w:kern w:val="0"/>
                <w:sz w:val="22"/>
              </w:rPr>
              <w:t>、经营情况</w:t>
            </w:r>
          </w:p>
        </w:tc>
        <w:tc>
          <w:tcPr>
            <w:tcW w:w="2793" w:type="dxa"/>
            <w:tcBorders>
              <w:top w:val="single" w:color="auto" w:sz="4" w:space="0"/>
              <w:left w:val="single" w:color="auto" w:sz="4" w:space="0"/>
              <w:bottom w:val="single" w:color="auto" w:sz="4" w:space="0"/>
              <w:right w:val="single" w:color="auto" w:sz="4" w:space="0"/>
            </w:tcBorders>
            <w:noWrap/>
            <w:vAlign w:val="center"/>
          </w:tcPr>
          <w:p w14:paraId="259230AA">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lang w:eastAsia="zh-CN"/>
              </w:rPr>
              <w:t>集聚区年</w:t>
            </w:r>
            <w:r>
              <w:rPr>
                <w:rFonts w:hint="default" w:ascii="Times New Roman" w:hAnsi="Times New Roman" w:cs="Times New Roman"/>
                <w:color w:val="000000"/>
                <w:kern w:val="0"/>
              </w:rPr>
              <w:t>营业额</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0A29C6D4">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万元</w:t>
            </w:r>
          </w:p>
        </w:tc>
        <w:tc>
          <w:tcPr>
            <w:tcW w:w="1100" w:type="dxa"/>
            <w:tcBorders>
              <w:top w:val="single" w:color="auto" w:sz="4" w:space="0"/>
              <w:left w:val="single" w:color="auto" w:sz="4" w:space="0"/>
              <w:bottom w:val="single" w:color="auto" w:sz="4" w:space="0"/>
              <w:right w:val="single" w:color="auto" w:sz="4" w:space="0"/>
            </w:tcBorders>
            <w:noWrap/>
            <w:vAlign w:val="center"/>
          </w:tcPr>
          <w:p w14:paraId="510C74BC">
            <w:pPr>
              <w:widowControl/>
              <w:jc w:val="center"/>
              <w:rPr>
                <w:rFonts w:hint="default" w:ascii="Times New Roman" w:hAnsi="Times New Roman" w:cs="Times New Roman"/>
                <w:color w:val="000000"/>
                <w:kern w:val="0"/>
              </w:rPr>
            </w:pPr>
          </w:p>
        </w:tc>
        <w:tc>
          <w:tcPr>
            <w:tcW w:w="1212" w:type="dxa"/>
            <w:tcBorders>
              <w:top w:val="single" w:color="auto" w:sz="4" w:space="0"/>
              <w:left w:val="single" w:color="auto" w:sz="4" w:space="0"/>
              <w:bottom w:val="single" w:color="auto" w:sz="4" w:space="0"/>
              <w:right w:val="nil"/>
            </w:tcBorders>
            <w:noWrap w:val="0"/>
            <w:vAlign w:val="center"/>
          </w:tcPr>
          <w:p w14:paraId="23CDD516">
            <w:pPr>
              <w:widowControl/>
              <w:jc w:val="center"/>
              <w:rPr>
                <w:rFonts w:hint="default" w:ascii="Times New Roman" w:hAnsi="Times New Roman" w:cs="Times New Roman"/>
                <w:color w:val="000000"/>
                <w:kern w:val="0"/>
              </w:rPr>
            </w:pPr>
          </w:p>
        </w:tc>
        <w:tc>
          <w:tcPr>
            <w:tcW w:w="1087" w:type="dxa"/>
            <w:tcBorders>
              <w:top w:val="single" w:color="auto" w:sz="4" w:space="0"/>
              <w:left w:val="single" w:color="auto" w:sz="4" w:space="0"/>
              <w:bottom w:val="single" w:color="auto" w:sz="4" w:space="0"/>
              <w:right w:val="nil"/>
            </w:tcBorders>
            <w:noWrap w:val="0"/>
            <w:vAlign w:val="center"/>
          </w:tcPr>
          <w:p w14:paraId="2A995DC6">
            <w:pPr>
              <w:widowControl/>
              <w:jc w:val="center"/>
              <w:rPr>
                <w:rFonts w:hint="default" w:ascii="Times New Roman" w:hAnsi="Times New Roman" w:cs="Times New Roman"/>
                <w:color w:val="000000"/>
                <w:kern w:val="0"/>
              </w:rPr>
            </w:pPr>
          </w:p>
        </w:tc>
        <w:tc>
          <w:tcPr>
            <w:tcW w:w="1076" w:type="dxa"/>
            <w:tcBorders>
              <w:top w:val="single" w:color="auto" w:sz="4" w:space="0"/>
              <w:left w:val="single" w:color="auto" w:sz="4" w:space="0"/>
              <w:bottom w:val="single" w:color="auto" w:sz="4" w:space="0"/>
              <w:right w:val="nil"/>
            </w:tcBorders>
            <w:noWrap w:val="0"/>
            <w:vAlign w:val="center"/>
          </w:tcPr>
          <w:p w14:paraId="0DC610DA">
            <w:pPr>
              <w:widowControl/>
              <w:jc w:val="center"/>
              <w:rPr>
                <w:rFonts w:hint="default" w:ascii="Times New Roman" w:hAnsi="Times New Roman" w:cs="Times New Roman"/>
                <w:color w:val="000000"/>
                <w:kern w:val="0"/>
              </w:rPr>
            </w:pPr>
          </w:p>
        </w:tc>
      </w:tr>
      <w:tr w14:paraId="148E6C15">
        <w:tblPrEx>
          <w:tblCellMar>
            <w:top w:w="0" w:type="dxa"/>
            <w:left w:w="108" w:type="dxa"/>
            <w:bottom w:w="0" w:type="dxa"/>
            <w:right w:w="108" w:type="dxa"/>
          </w:tblCellMar>
        </w:tblPrEx>
        <w:trPr>
          <w:trHeight w:val="312" w:hRule="atLeast"/>
          <w:jc w:val="center"/>
        </w:trPr>
        <w:tc>
          <w:tcPr>
            <w:tcW w:w="1560" w:type="dxa"/>
            <w:vMerge w:val="continue"/>
            <w:tcBorders>
              <w:top w:val="single" w:color="auto" w:sz="4" w:space="0"/>
              <w:left w:val="nil"/>
              <w:bottom w:val="single" w:color="auto" w:sz="4" w:space="0"/>
              <w:right w:val="single" w:color="auto" w:sz="4" w:space="0"/>
            </w:tcBorders>
            <w:noWrap w:val="0"/>
            <w:vAlign w:val="center"/>
          </w:tcPr>
          <w:p w14:paraId="0D675303">
            <w:pPr>
              <w:widowControl/>
              <w:jc w:val="left"/>
              <w:rPr>
                <w:rFonts w:hint="default" w:ascii="Times New Roman" w:hAnsi="Times New Roman" w:cs="Times New Roman"/>
                <w:color w:val="000000"/>
                <w:kern w:val="0"/>
                <w:sz w:val="22"/>
              </w:rPr>
            </w:pPr>
          </w:p>
        </w:tc>
        <w:tc>
          <w:tcPr>
            <w:tcW w:w="2793" w:type="dxa"/>
            <w:tcBorders>
              <w:top w:val="single" w:color="auto" w:sz="4" w:space="0"/>
              <w:left w:val="single" w:color="auto" w:sz="4" w:space="0"/>
              <w:bottom w:val="single" w:color="auto" w:sz="4" w:space="0"/>
              <w:right w:val="single" w:color="auto" w:sz="4" w:space="0"/>
            </w:tcBorders>
            <w:noWrap/>
            <w:vAlign w:val="center"/>
          </w:tcPr>
          <w:p w14:paraId="14F56DD5">
            <w:pPr>
              <w:widowControl/>
              <w:jc w:val="left"/>
              <w:rPr>
                <w:rFonts w:hint="default" w:ascii="Times New Roman" w:hAnsi="Times New Roman" w:cs="Times New Roman"/>
                <w:color w:val="000000"/>
                <w:kern w:val="0"/>
              </w:rPr>
            </w:pPr>
            <w:r>
              <w:rPr>
                <w:rFonts w:hint="default" w:ascii="Times New Roman" w:hAnsi="Times New Roman" w:cs="Times New Roman"/>
                <w:color w:val="000000"/>
                <w:kern w:val="0"/>
              </w:rPr>
              <w:t>其中：零售</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F209C57">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万元</w:t>
            </w:r>
          </w:p>
        </w:tc>
        <w:tc>
          <w:tcPr>
            <w:tcW w:w="1100" w:type="dxa"/>
            <w:tcBorders>
              <w:top w:val="single" w:color="auto" w:sz="4" w:space="0"/>
              <w:left w:val="single" w:color="auto" w:sz="4" w:space="0"/>
              <w:bottom w:val="single" w:color="auto" w:sz="4" w:space="0"/>
              <w:right w:val="single" w:color="auto" w:sz="4" w:space="0"/>
            </w:tcBorders>
            <w:noWrap/>
            <w:vAlign w:val="center"/>
          </w:tcPr>
          <w:p w14:paraId="6F25B669">
            <w:pPr>
              <w:widowControl/>
              <w:jc w:val="center"/>
              <w:rPr>
                <w:rFonts w:hint="default" w:ascii="Times New Roman" w:hAnsi="Times New Roman" w:cs="Times New Roman"/>
                <w:color w:val="000000"/>
                <w:kern w:val="0"/>
              </w:rPr>
            </w:pPr>
          </w:p>
        </w:tc>
        <w:tc>
          <w:tcPr>
            <w:tcW w:w="1212" w:type="dxa"/>
            <w:tcBorders>
              <w:top w:val="single" w:color="auto" w:sz="4" w:space="0"/>
              <w:left w:val="single" w:color="auto" w:sz="4" w:space="0"/>
              <w:bottom w:val="single" w:color="auto" w:sz="4" w:space="0"/>
              <w:right w:val="nil"/>
            </w:tcBorders>
            <w:noWrap w:val="0"/>
            <w:vAlign w:val="center"/>
          </w:tcPr>
          <w:p w14:paraId="6D4AC82C">
            <w:pPr>
              <w:widowControl/>
              <w:jc w:val="center"/>
              <w:rPr>
                <w:rFonts w:hint="default" w:ascii="Times New Roman" w:hAnsi="Times New Roman" w:cs="Times New Roman"/>
                <w:color w:val="000000"/>
                <w:kern w:val="0"/>
              </w:rPr>
            </w:pPr>
          </w:p>
        </w:tc>
        <w:tc>
          <w:tcPr>
            <w:tcW w:w="1087" w:type="dxa"/>
            <w:tcBorders>
              <w:top w:val="single" w:color="auto" w:sz="4" w:space="0"/>
              <w:left w:val="single" w:color="auto" w:sz="4" w:space="0"/>
              <w:bottom w:val="single" w:color="auto" w:sz="4" w:space="0"/>
              <w:right w:val="nil"/>
            </w:tcBorders>
            <w:noWrap w:val="0"/>
            <w:vAlign w:val="center"/>
          </w:tcPr>
          <w:p w14:paraId="440C6333">
            <w:pPr>
              <w:widowControl/>
              <w:jc w:val="center"/>
              <w:rPr>
                <w:rFonts w:hint="default" w:ascii="Times New Roman" w:hAnsi="Times New Roman" w:cs="Times New Roman"/>
                <w:color w:val="000000"/>
                <w:kern w:val="0"/>
              </w:rPr>
            </w:pPr>
          </w:p>
        </w:tc>
        <w:tc>
          <w:tcPr>
            <w:tcW w:w="1076" w:type="dxa"/>
            <w:tcBorders>
              <w:top w:val="single" w:color="auto" w:sz="4" w:space="0"/>
              <w:left w:val="single" w:color="auto" w:sz="4" w:space="0"/>
              <w:bottom w:val="single" w:color="auto" w:sz="4" w:space="0"/>
              <w:right w:val="nil"/>
            </w:tcBorders>
            <w:noWrap w:val="0"/>
            <w:vAlign w:val="center"/>
          </w:tcPr>
          <w:p w14:paraId="30649A8E">
            <w:pPr>
              <w:widowControl/>
              <w:jc w:val="center"/>
              <w:rPr>
                <w:rFonts w:hint="default" w:ascii="Times New Roman" w:hAnsi="Times New Roman" w:cs="Times New Roman"/>
                <w:color w:val="000000"/>
                <w:kern w:val="0"/>
              </w:rPr>
            </w:pPr>
          </w:p>
        </w:tc>
      </w:tr>
      <w:tr w14:paraId="36AB2736">
        <w:tblPrEx>
          <w:tblCellMar>
            <w:top w:w="0" w:type="dxa"/>
            <w:left w:w="108" w:type="dxa"/>
            <w:bottom w:w="0" w:type="dxa"/>
            <w:right w:w="108" w:type="dxa"/>
          </w:tblCellMar>
        </w:tblPrEx>
        <w:trPr>
          <w:trHeight w:val="312" w:hRule="atLeast"/>
          <w:jc w:val="center"/>
        </w:trPr>
        <w:tc>
          <w:tcPr>
            <w:tcW w:w="1560" w:type="dxa"/>
            <w:vMerge w:val="continue"/>
            <w:tcBorders>
              <w:top w:val="single" w:color="auto" w:sz="4" w:space="0"/>
              <w:left w:val="nil"/>
              <w:bottom w:val="single" w:color="auto" w:sz="4" w:space="0"/>
              <w:right w:val="single" w:color="auto" w:sz="4" w:space="0"/>
            </w:tcBorders>
            <w:noWrap w:val="0"/>
            <w:vAlign w:val="center"/>
          </w:tcPr>
          <w:p w14:paraId="3090E978">
            <w:pPr>
              <w:widowControl/>
              <w:jc w:val="left"/>
              <w:rPr>
                <w:rFonts w:hint="default" w:ascii="Times New Roman" w:hAnsi="Times New Roman" w:cs="Times New Roman"/>
                <w:color w:val="000000"/>
                <w:kern w:val="0"/>
                <w:sz w:val="22"/>
              </w:rPr>
            </w:pPr>
          </w:p>
        </w:tc>
        <w:tc>
          <w:tcPr>
            <w:tcW w:w="2793" w:type="dxa"/>
            <w:tcBorders>
              <w:top w:val="single" w:color="auto" w:sz="4" w:space="0"/>
              <w:left w:val="single" w:color="auto" w:sz="4" w:space="0"/>
              <w:bottom w:val="single" w:color="auto" w:sz="4" w:space="0"/>
              <w:right w:val="single" w:color="auto" w:sz="4" w:space="0"/>
            </w:tcBorders>
            <w:noWrap/>
            <w:vAlign w:val="center"/>
          </w:tcPr>
          <w:p w14:paraId="5C1841FC">
            <w:pPr>
              <w:widowControl/>
              <w:ind w:firstLine="630" w:firstLineChars="300"/>
              <w:jc w:val="left"/>
              <w:rPr>
                <w:rFonts w:hint="default" w:ascii="Times New Roman" w:hAnsi="Times New Roman" w:cs="Times New Roman"/>
                <w:color w:val="000000"/>
                <w:kern w:val="0"/>
              </w:rPr>
            </w:pPr>
            <w:r>
              <w:rPr>
                <w:rFonts w:hint="default" w:ascii="Times New Roman" w:hAnsi="Times New Roman" w:cs="Times New Roman"/>
                <w:color w:val="000000"/>
                <w:kern w:val="0"/>
              </w:rPr>
              <w:t>餐饮</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86007AF">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万元</w:t>
            </w:r>
          </w:p>
        </w:tc>
        <w:tc>
          <w:tcPr>
            <w:tcW w:w="1100" w:type="dxa"/>
            <w:tcBorders>
              <w:top w:val="single" w:color="auto" w:sz="4" w:space="0"/>
              <w:left w:val="single" w:color="auto" w:sz="4" w:space="0"/>
              <w:bottom w:val="single" w:color="auto" w:sz="4" w:space="0"/>
              <w:right w:val="single" w:color="auto" w:sz="4" w:space="0"/>
            </w:tcBorders>
            <w:noWrap/>
            <w:vAlign w:val="center"/>
          </w:tcPr>
          <w:p w14:paraId="3B8CF17B">
            <w:pPr>
              <w:widowControl/>
              <w:jc w:val="center"/>
              <w:rPr>
                <w:rFonts w:hint="default" w:ascii="Times New Roman" w:hAnsi="Times New Roman" w:cs="Times New Roman"/>
                <w:color w:val="000000"/>
                <w:kern w:val="0"/>
              </w:rPr>
            </w:pPr>
          </w:p>
        </w:tc>
        <w:tc>
          <w:tcPr>
            <w:tcW w:w="1212" w:type="dxa"/>
            <w:tcBorders>
              <w:top w:val="single" w:color="auto" w:sz="4" w:space="0"/>
              <w:left w:val="single" w:color="auto" w:sz="4" w:space="0"/>
              <w:bottom w:val="single" w:color="auto" w:sz="4" w:space="0"/>
              <w:right w:val="nil"/>
            </w:tcBorders>
            <w:noWrap w:val="0"/>
            <w:vAlign w:val="center"/>
          </w:tcPr>
          <w:p w14:paraId="5A77DC40">
            <w:pPr>
              <w:widowControl/>
              <w:jc w:val="center"/>
              <w:rPr>
                <w:rFonts w:hint="default" w:ascii="Times New Roman" w:hAnsi="Times New Roman" w:cs="Times New Roman"/>
                <w:color w:val="000000"/>
                <w:kern w:val="0"/>
              </w:rPr>
            </w:pPr>
          </w:p>
        </w:tc>
        <w:tc>
          <w:tcPr>
            <w:tcW w:w="1087" w:type="dxa"/>
            <w:tcBorders>
              <w:top w:val="single" w:color="auto" w:sz="4" w:space="0"/>
              <w:left w:val="single" w:color="auto" w:sz="4" w:space="0"/>
              <w:bottom w:val="single" w:color="auto" w:sz="4" w:space="0"/>
              <w:right w:val="nil"/>
            </w:tcBorders>
            <w:noWrap w:val="0"/>
            <w:vAlign w:val="center"/>
          </w:tcPr>
          <w:p w14:paraId="561497BF">
            <w:pPr>
              <w:widowControl/>
              <w:jc w:val="center"/>
              <w:rPr>
                <w:rFonts w:hint="default" w:ascii="Times New Roman" w:hAnsi="Times New Roman" w:cs="Times New Roman"/>
                <w:color w:val="000000"/>
                <w:kern w:val="0"/>
              </w:rPr>
            </w:pPr>
          </w:p>
        </w:tc>
        <w:tc>
          <w:tcPr>
            <w:tcW w:w="1076" w:type="dxa"/>
            <w:tcBorders>
              <w:top w:val="single" w:color="auto" w:sz="4" w:space="0"/>
              <w:left w:val="single" w:color="auto" w:sz="4" w:space="0"/>
              <w:bottom w:val="single" w:color="auto" w:sz="4" w:space="0"/>
              <w:right w:val="nil"/>
            </w:tcBorders>
            <w:noWrap w:val="0"/>
            <w:vAlign w:val="center"/>
          </w:tcPr>
          <w:p w14:paraId="4071C8B4">
            <w:pPr>
              <w:widowControl/>
              <w:jc w:val="center"/>
              <w:rPr>
                <w:rFonts w:hint="default" w:ascii="Times New Roman" w:hAnsi="Times New Roman" w:cs="Times New Roman"/>
                <w:color w:val="000000"/>
                <w:kern w:val="0"/>
              </w:rPr>
            </w:pPr>
          </w:p>
        </w:tc>
      </w:tr>
      <w:tr w14:paraId="02AEDAFF">
        <w:tblPrEx>
          <w:tblCellMar>
            <w:top w:w="0" w:type="dxa"/>
            <w:left w:w="108" w:type="dxa"/>
            <w:bottom w:w="0" w:type="dxa"/>
            <w:right w:w="108" w:type="dxa"/>
          </w:tblCellMar>
        </w:tblPrEx>
        <w:trPr>
          <w:trHeight w:val="312" w:hRule="atLeast"/>
          <w:jc w:val="center"/>
        </w:trPr>
        <w:tc>
          <w:tcPr>
            <w:tcW w:w="1560" w:type="dxa"/>
            <w:vMerge w:val="continue"/>
            <w:tcBorders>
              <w:top w:val="single" w:color="auto" w:sz="4" w:space="0"/>
              <w:left w:val="nil"/>
              <w:bottom w:val="single" w:color="auto" w:sz="4" w:space="0"/>
              <w:right w:val="single" w:color="auto" w:sz="4" w:space="0"/>
            </w:tcBorders>
            <w:noWrap w:val="0"/>
            <w:vAlign w:val="center"/>
          </w:tcPr>
          <w:p w14:paraId="714B379E">
            <w:pPr>
              <w:widowControl/>
              <w:jc w:val="left"/>
              <w:rPr>
                <w:rFonts w:hint="default" w:ascii="Times New Roman" w:hAnsi="Times New Roman" w:cs="Times New Roman"/>
                <w:color w:val="000000"/>
                <w:kern w:val="0"/>
                <w:sz w:val="22"/>
              </w:rPr>
            </w:pPr>
          </w:p>
        </w:tc>
        <w:tc>
          <w:tcPr>
            <w:tcW w:w="2793" w:type="dxa"/>
            <w:tcBorders>
              <w:top w:val="single" w:color="auto" w:sz="4" w:space="0"/>
              <w:left w:val="single" w:color="auto" w:sz="4" w:space="0"/>
              <w:bottom w:val="single" w:color="auto" w:sz="4" w:space="0"/>
              <w:right w:val="single" w:color="auto" w:sz="4" w:space="0"/>
            </w:tcBorders>
            <w:noWrap/>
            <w:vAlign w:val="center"/>
          </w:tcPr>
          <w:p w14:paraId="321C38E0">
            <w:pPr>
              <w:widowControl/>
              <w:ind w:firstLine="630" w:firstLineChars="300"/>
              <w:jc w:val="left"/>
              <w:rPr>
                <w:rFonts w:hint="default" w:ascii="Times New Roman" w:hAnsi="Times New Roman" w:cs="Times New Roman"/>
                <w:color w:val="000000"/>
                <w:kern w:val="0"/>
              </w:rPr>
            </w:pPr>
            <w:r>
              <w:rPr>
                <w:rFonts w:hint="default" w:ascii="Times New Roman" w:hAnsi="Times New Roman" w:cs="Times New Roman"/>
                <w:color w:val="000000"/>
                <w:kern w:val="0"/>
              </w:rPr>
              <w:t>文娱休闲</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FF38352">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万元</w:t>
            </w:r>
          </w:p>
        </w:tc>
        <w:tc>
          <w:tcPr>
            <w:tcW w:w="1100" w:type="dxa"/>
            <w:tcBorders>
              <w:top w:val="single" w:color="auto" w:sz="4" w:space="0"/>
              <w:left w:val="single" w:color="auto" w:sz="4" w:space="0"/>
              <w:bottom w:val="single" w:color="auto" w:sz="4" w:space="0"/>
              <w:right w:val="single" w:color="auto" w:sz="4" w:space="0"/>
            </w:tcBorders>
            <w:noWrap/>
            <w:vAlign w:val="center"/>
          </w:tcPr>
          <w:p w14:paraId="65590FE5">
            <w:pPr>
              <w:widowControl/>
              <w:jc w:val="center"/>
              <w:rPr>
                <w:rFonts w:hint="default" w:ascii="Times New Roman" w:hAnsi="Times New Roman" w:cs="Times New Roman"/>
                <w:color w:val="000000"/>
                <w:kern w:val="0"/>
              </w:rPr>
            </w:pPr>
          </w:p>
        </w:tc>
        <w:tc>
          <w:tcPr>
            <w:tcW w:w="1212" w:type="dxa"/>
            <w:tcBorders>
              <w:top w:val="single" w:color="auto" w:sz="4" w:space="0"/>
              <w:left w:val="single" w:color="auto" w:sz="4" w:space="0"/>
              <w:bottom w:val="single" w:color="auto" w:sz="4" w:space="0"/>
              <w:right w:val="nil"/>
            </w:tcBorders>
            <w:noWrap w:val="0"/>
            <w:vAlign w:val="center"/>
          </w:tcPr>
          <w:p w14:paraId="4F79B2E8">
            <w:pPr>
              <w:widowControl/>
              <w:jc w:val="center"/>
              <w:rPr>
                <w:rFonts w:hint="default" w:ascii="Times New Roman" w:hAnsi="Times New Roman" w:cs="Times New Roman"/>
                <w:color w:val="000000"/>
                <w:kern w:val="0"/>
              </w:rPr>
            </w:pPr>
          </w:p>
        </w:tc>
        <w:tc>
          <w:tcPr>
            <w:tcW w:w="1087" w:type="dxa"/>
            <w:tcBorders>
              <w:top w:val="single" w:color="auto" w:sz="4" w:space="0"/>
              <w:left w:val="single" w:color="auto" w:sz="4" w:space="0"/>
              <w:bottom w:val="single" w:color="auto" w:sz="4" w:space="0"/>
              <w:right w:val="nil"/>
            </w:tcBorders>
            <w:noWrap w:val="0"/>
            <w:vAlign w:val="center"/>
          </w:tcPr>
          <w:p w14:paraId="7ECBDC1E">
            <w:pPr>
              <w:widowControl/>
              <w:jc w:val="center"/>
              <w:rPr>
                <w:rFonts w:hint="default" w:ascii="Times New Roman" w:hAnsi="Times New Roman" w:cs="Times New Roman"/>
                <w:color w:val="000000"/>
                <w:kern w:val="0"/>
              </w:rPr>
            </w:pPr>
          </w:p>
        </w:tc>
        <w:tc>
          <w:tcPr>
            <w:tcW w:w="1076" w:type="dxa"/>
            <w:tcBorders>
              <w:top w:val="single" w:color="auto" w:sz="4" w:space="0"/>
              <w:left w:val="single" w:color="auto" w:sz="4" w:space="0"/>
              <w:bottom w:val="single" w:color="auto" w:sz="4" w:space="0"/>
              <w:right w:val="nil"/>
            </w:tcBorders>
            <w:noWrap w:val="0"/>
            <w:vAlign w:val="center"/>
          </w:tcPr>
          <w:p w14:paraId="6F0D2335">
            <w:pPr>
              <w:widowControl/>
              <w:jc w:val="center"/>
              <w:rPr>
                <w:rFonts w:hint="default" w:ascii="Times New Roman" w:hAnsi="Times New Roman" w:cs="Times New Roman"/>
                <w:color w:val="000000"/>
                <w:kern w:val="0"/>
              </w:rPr>
            </w:pPr>
          </w:p>
        </w:tc>
      </w:tr>
      <w:tr w14:paraId="2F4677EB">
        <w:tblPrEx>
          <w:tblCellMar>
            <w:top w:w="0" w:type="dxa"/>
            <w:left w:w="108" w:type="dxa"/>
            <w:bottom w:w="0" w:type="dxa"/>
            <w:right w:w="108" w:type="dxa"/>
          </w:tblCellMar>
        </w:tblPrEx>
        <w:trPr>
          <w:trHeight w:val="312" w:hRule="atLeast"/>
          <w:jc w:val="center"/>
        </w:trPr>
        <w:tc>
          <w:tcPr>
            <w:tcW w:w="1560" w:type="dxa"/>
            <w:vMerge w:val="continue"/>
            <w:tcBorders>
              <w:top w:val="single" w:color="auto" w:sz="4" w:space="0"/>
              <w:left w:val="nil"/>
              <w:bottom w:val="single" w:color="auto" w:sz="4" w:space="0"/>
              <w:right w:val="single" w:color="auto" w:sz="4" w:space="0"/>
            </w:tcBorders>
            <w:noWrap w:val="0"/>
            <w:vAlign w:val="center"/>
          </w:tcPr>
          <w:p w14:paraId="0FFD8D24">
            <w:pPr>
              <w:widowControl/>
              <w:jc w:val="left"/>
              <w:rPr>
                <w:rFonts w:hint="default" w:ascii="Times New Roman" w:hAnsi="Times New Roman" w:cs="Times New Roman"/>
                <w:color w:val="000000"/>
                <w:kern w:val="0"/>
                <w:sz w:val="22"/>
              </w:rPr>
            </w:pPr>
          </w:p>
        </w:tc>
        <w:tc>
          <w:tcPr>
            <w:tcW w:w="2793" w:type="dxa"/>
            <w:tcBorders>
              <w:top w:val="single" w:color="auto" w:sz="4" w:space="0"/>
              <w:left w:val="single" w:color="auto" w:sz="4" w:space="0"/>
              <w:bottom w:val="single" w:color="auto" w:sz="4" w:space="0"/>
              <w:right w:val="single" w:color="auto" w:sz="4" w:space="0"/>
            </w:tcBorders>
            <w:noWrap/>
            <w:vAlign w:val="center"/>
          </w:tcPr>
          <w:p w14:paraId="28FE1D99">
            <w:pPr>
              <w:widowControl/>
              <w:ind w:firstLine="630" w:firstLineChars="300"/>
              <w:jc w:val="left"/>
              <w:rPr>
                <w:rFonts w:hint="default" w:ascii="Times New Roman" w:hAnsi="Times New Roman" w:cs="Times New Roman"/>
                <w:color w:val="000000"/>
                <w:kern w:val="0"/>
              </w:rPr>
            </w:pPr>
            <w:r>
              <w:rPr>
                <w:rFonts w:hint="default" w:ascii="Times New Roman" w:hAnsi="Times New Roman" w:cs="Times New Roman"/>
                <w:color w:val="000000"/>
                <w:kern w:val="0"/>
              </w:rPr>
              <w:t>其他服务业</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187F88D5">
            <w:pPr>
              <w:widowControl/>
              <w:jc w:val="center"/>
              <w:rPr>
                <w:rFonts w:hint="default" w:ascii="Times New Roman" w:hAnsi="Times New Roman" w:cs="Times New Roman"/>
                <w:color w:val="000000"/>
                <w:kern w:val="0"/>
              </w:rPr>
            </w:pPr>
            <w:r>
              <w:rPr>
                <w:rFonts w:hint="default" w:ascii="Times New Roman" w:hAnsi="Times New Roman" w:cs="Times New Roman"/>
                <w:color w:val="000000"/>
                <w:kern w:val="0"/>
              </w:rPr>
              <w:t>万元</w:t>
            </w:r>
          </w:p>
        </w:tc>
        <w:tc>
          <w:tcPr>
            <w:tcW w:w="1100" w:type="dxa"/>
            <w:tcBorders>
              <w:top w:val="single" w:color="auto" w:sz="4" w:space="0"/>
              <w:left w:val="single" w:color="auto" w:sz="4" w:space="0"/>
              <w:bottom w:val="single" w:color="auto" w:sz="4" w:space="0"/>
              <w:right w:val="single" w:color="auto" w:sz="4" w:space="0"/>
            </w:tcBorders>
            <w:noWrap/>
            <w:vAlign w:val="center"/>
          </w:tcPr>
          <w:p w14:paraId="16D5DEDB">
            <w:pPr>
              <w:widowControl/>
              <w:jc w:val="center"/>
              <w:rPr>
                <w:rFonts w:hint="default" w:ascii="Times New Roman" w:hAnsi="Times New Roman" w:cs="Times New Roman"/>
                <w:color w:val="000000"/>
                <w:kern w:val="0"/>
              </w:rPr>
            </w:pPr>
          </w:p>
        </w:tc>
        <w:tc>
          <w:tcPr>
            <w:tcW w:w="1212" w:type="dxa"/>
            <w:tcBorders>
              <w:top w:val="single" w:color="auto" w:sz="4" w:space="0"/>
              <w:left w:val="single" w:color="auto" w:sz="4" w:space="0"/>
              <w:bottom w:val="single" w:color="auto" w:sz="4" w:space="0"/>
              <w:right w:val="nil"/>
            </w:tcBorders>
            <w:noWrap w:val="0"/>
            <w:vAlign w:val="center"/>
          </w:tcPr>
          <w:p w14:paraId="369C625D">
            <w:pPr>
              <w:widowControl/>
              <w:jc w:val="center"/>
              <w:rPr>
                <w:rFonts w:hint="default" w:ascii="Times New Roman" w:hAnsi="Times New Roman" w:cs="Times New Roman"/>
                <w:color w:val="000000"/>
                <w:kern w:val="0"/>
              </w:rPr>
            </w:pPr>
          </w:p>
        </w:tc>
        <w:tc>
          <w:tcPr>
            <w:tcW w:w="1087" w:type="dxa"/>
            <w:tcBorders>
              <w:top w:val="single" w:color="auto" w:sz="4" w:space="0"/>
              <w:left w:val="single" w:color="auto" w:sz="4" w:space="0"/>
              <w:bottom w:val="single" w:color="auto" w:sz="4" w:space="0"/>
              <w:right w:val="nil"/>
            </w:tcBorders>
            <w:noWrap w:val="0"/>
            <w:vAlign w:val="center"/>
          </w:tcPr>
          <w:p w14:paraId="0988E51D">
            <w:pPr>
              <w:widowControl/>
              <w:jc w:val="center"/>
              <w:rPr>
                <w:rFonts w:hint="default" w:ascii="Times New Roman" w:hAnsi="Times New Roman" w:cs="Times New Roman"/>
                <w:color w:val="000000"/>
                <w:kern w:val="0"/>
              </w:rPr>
            </w:pPr>
          </w:p>
        </w:tc>
        <w:tc>
          <w:tcPr>
            <w:tcW w:w="1076" w:type="dxa"/>
            <w:tcBorders>
              <w:top w:val="single" w:color="auto" w:sz="4" w:space="0"/>
              <w:left w:val="single" w:color="auto" w:sz="4" w:space="0"/>
              <w:bottom w:val="single" w:color="auto" w:sz="4" w:space="0"/>
              <w:right w:val="nil"/>
            </w:tcBorders>
            <w:noWrap w:val="0"/>
            <w:vAlign w:val="center"/>
          </w:tcPr>
          <w:p w14:paraId="457B563C">
            <w:pPr>
              <w:widowControl/>
              <w:jc w:val="center"/>
              <w:rPr>
                <w:rFonts w:hint="default" w:ascii="Times New Roman" w:hAnsi="Times New Roman" w:cs="Times New Roman"/>
                <w:color w:val="000000"/>
                <w:kern w:val="0"/>
              </w:rPr>
            </w:pPr>
          </w:p>
        </w:tc>
      </w:tr>
    </w:tbl>
    <w:p w14:paraId="217C337C">
      <w:pPr>
        <w:widowControl/>
        <w:jc w:val="center"/>
        <w:rPr>
          <w:rFonts w:hint="default" w:ascii="Times New Roman" w:hAnsi="Times New Roman" w:cs="Times New Roman"/>
        </w:rPr>
      </w:pPr>
    </w:p>
    <w:p w14:paraId="306021DC">
      <w:pPr>
        <w:widowControl/>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指标说明：</w:t>
      </w:r>
    </w:p>
    <w:p w14:paraId="73A21F2F">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w:t>
      </w:r>
      <w:r>
        <w:rPr>
          <w:rFonts w:hint="default" w:ascii="Times New Roman" w:hAnsi="Times New Roman" w:eastAsia="仿宋_GB2312" w:cs="Times New Roman"/>
          <w:b/>
          <w:bCs/>
          <w:sz w:val="24"/>
          <w:szCs w:val="24"/>
        </w:rPr>
        <w:t>. 建成历史：</w:t>
      </w:r>
      <w:r>
        <w:rPr>
          <w:rFonts w:hint="default" w:ascii="Times New Roman" w:hAnsi="Times New Roman" w:eastAsia="仿宋_GB2312" w:cs="Times New Roman"/>
          <w:sz w:val="24"/>
          <w:szCs w:val="24"/>
        </w:rPr>
        <w:t>自</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建成至今的年限。</w:t>
      </w:r>
    </w:p>
    <w:p w14:paraId="6B81073F">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2</w:t>
      </w:r>
      <w:r>
        <w:rPr>
          <w:rFonts w:hint="default" w:ascii="Times New Roman" w:hAnsi="Times New Roman" w:eastAsia="仿宋_GB2312" w:cs="Times New Roman"/>
          <w:b/>
          <w:bCs/>
          <w:sz w:val="24"/>
          <w:szCs w:val="24"/>
        </w:rPr>
        <w:t>. 总占地面积：</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报批立项内的总占地面积。</w:t>
      </w:r>
    </w:p>
    <w:p w14:paraId="7BD50DAD">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3</w:t>
      </w:r>
      <w:r>
        <w:rPr>
          <w:rFonts w:hint="default" w:ascii="Times New Roman" w:hAnsi="Times New Roman" w:eastAsia="仿宋_GB2312" w:cs="Times New Roman"/>
          <w:b/>
          <w:bCs/>
          <w:sz w:val="24"/>
          <w:szCs w:val="24"/>
        </w:rPr>
        <w:t>. 商业建筑面积：</w:t>
      </w:r>
      <w:r>
        <w:rPr>
          <w:rFonts w:hint="default" w:ascii="Times New Roman" w:hAnsi="Times New Roman" w:eastAsia="仿宋_GB2312" w:cs="Times New Roman"/>
          <w:sz w:val="24"/>
          <w:szCs w:val="24"/>
        </w:rPr>
        <w:t>指</w:t>
      </w:r>
      <w:r>
        <w:rPr>
          <w:rFonts w:hint="default" w:ascii="Times New Roman" w:hAnsi="Times New Roman" w:eastAsia="仿宋_GB2312" w:cs="Times New Roman"/>
          <w:sz w:val="24"/>
          <w:szCs w:val="24"/>
          <w:lang w:eastAsia="zh-CN"/>
        </w:rPr>
        <w:t>集聚</w:t>
      </w:r>
      <w:r>
        <w:rPr>
          <w:rFonts w:hint="default" w:ascii="Times New Roman" w:hAnsi="Times New Roman" w:eastAsia="仿宋_GB2312" w:cs="Times New Roman"/>
          <w:bCs/>
          <w:sz w:val="24"/>
          <w:szCs w:val="24"/>
        </w:rPr>
        <w:t>区内各商业体建筑面积的总和</w:t>
      </w:r>
      <w:r>
        <w:rPr>
          <w:rFonts w:hint="default" w:ascii="Times New Roman" w:hAnsi="Times New Roman" w:eastAsia="仿宋_GB2312" w:cs="Times New Roman"/>
          <w:sz w:val="24"/>
          <w:szCs w:val="24"/>
        </w:rPr>
        <w:t>。</w:t>
      </w:r>
    </w:p>
    <w:p w14:paraId="4557834C">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4</w:t>
      </w:r>
      <w:r>
        <w:rPr>
          <w:rFonts w:hint="default" w:ascii="Times New Roman" w:hAnsi="Times New Roman" w:eastAsia="仿宋_GB2312" w:cs="Times New Roman"/>
          <w:b/>
          <w:bCs/>
          <w:sz w:val="24"/>
          <w:szCs w:val="24"/>
        </w:rPr>
        <w:t>. 公园绿地面积：</w:t>
      </w:r>
      <w:r>
        <w:rPr>
          <w:rFonts w:hint="default" w:ascii="Times New Roman" w:hAnsi="Times New Roman" w:eastAsia="仿宋_GB2312" w:cs="Times New Roman"/>
          <w:sz w:val="24"/>
          <w:szCs w:val="24"/>
          <w:lang w:eastAsia="zh-CN"/>
        </w:rPr>
        <w:t>集聚</w:t>
      </w:r>
      <w:r>
        <w:rPr>
          <w:rFonts w:hint="default" w:ascii="Times New Roman" w:hAnsi="Times New Roman" w:eastAsia="仿宋_GB2312" w:cs="Times New Roman"/>
          <w:sz w:val="24"/>
          <w:szCs w:val="24"/>
        </w:rPr>
        <w:t>范围内包含的公园绿地面积。</w:t>
      </w:r>
    </w:p>
    <w:p w14:paraId="283E3D29">
      <w:pPr>
        <w:widowControl/>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5. 商铺空置率：</w:t>
      </w:r>
      <w:r>
        <w:rPr>
          <w:rFonts w:hint="default" w:ascii="Times New Roman" w:hAnsi="Times New Roman" w:eastAsia="仿宋_GB2312" w:cs="Times New Roman"/>
          <w:b w:val="0"/>
          <w:bCs w:val="0"/>
          <w:sz w:val="24"/>
          <w:szCs w:val="24"/>
          <w:lang w:val="en-US" w:eastAsia="zh-CN"/>
        </w:rPr>
        <w:t>尚未装修开业的商业设施视为空置，空置商业设施的建筑面积与</w:t>
      </w:r>
      <w:r>
        <w:rPr>
          <w:rFonts w:hint="default" w:ascii="Times New Roman" w:hAnsi="Times New Roman" w:eastAsia="仿宋_GB2312" w:cs="Times New Roman"/>
          <w:b w:val="0"/>
          <w:bCs w:val="0"/>
          <w:sz w:val="24"/>
          <w:szCs w:val="24"/>
          <w:lang w:val="en" w:eastAsia="zh-CN"/>
        </w:rPr>
        <w:t>集聚区</w:t>
      </w:r>
      <w:r>
        <w:rPr>
          <w:rFonts w:hint="default" w:ascii="Times New Roman" w:hAnsi="Times New Roman" w:eastAsia="仿宋_GB2312" w:cs="Times New Roman"/>
          <w:b w:val="0"/>
          <w:bCs w:val="0"/>
          <w:sz w:val="24"/>
          <w:szCs w:val="24"/>
          <w:lang w:val="en-US" w:eastAsia="zh-CN"/>
        </w:rPr>
        <w:t>总商业建筑面积之比为空置率。</w:t>
      </w:r>
    </w:p>
    <w:p w14:paraId="30683C7D">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6.</w:t>
      </w:r>
      <w:r>
        <w:rPr>
          <w:rFonts w:hint="default" w:ascii="Times New Roman" w:hAnsi="Times New Roman" w:eastAsia="仿宋_GB2312" w:cs="Times New Roman"/>
          <w:b/>
          <w:bCs/>
          <w:sz w:val="24"/>
          <w:szCs w:val="24"/>
          <w:lang w:eastAsia="zh-CN"/>
        </w:rPr>
        <w:t>夜间营业商铺：</w:t>
      </w:r>
      <w:r>
        <w:rPr>
          <w:rFonts w:hint="default" w:ascii="Times New Roman" w:hAnsi="Times New Roman" w:eastAsia="仿宋_GB2312" w:cs="Times New Roman"/>
          <w:sz w:val="24"/>
          <w:szCs w:val="24"/>
          <w:lang w:eastAsia="zh-CN"/>
        </w:rPr>
        <w:t>夜间营业时间一般指从当日下午6点到次日早晨6点。</w:t>
      </w:r>
    </w:p>
    <w:p w14:paraId="6D1DA949">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color w:val="000000"/>
          <w:sz w:val="24"/>
          <w:szCs w:val="24"/>
          <w:lang w:val="en-US" w:eastAsia="zh-CN"/>
        </w:rPr>
        <w:t>7</w:t>
      </w:r>
      <w:r>
        <w:rPr>
          <w:rFonts w:hint="default" w:ascii="Times New Roman" w:hAnsi="Times New Roman" w:eastAsia="仿宋_GB2312" w:cs="Times New Roman"/>
          <w:b/>
          <w:bCs/>
          <w:color w:val="000000"/>
          <w:sz w:val="24"/>
          <w:szCs w:val="24"/>
        </w:rPr>
        <w:t>. 品牌数量：</w:t>
      </w:r>
      <w:r>
        <w:rPr>
          <w:rFonts w:hint="default" w:ascii="Times New Roman" w:hAnsi="Times New Roman" w:eastAsia="仿宋_GB2312" w:cs="Times New Roman"/>
          <w:bCs/>
          <w:sz w:val="24"/>
          <w:szCs w:val="24"/>
        </w:rPr>
        <w:t>此指标用于反映</w:t>
      </w:r>
      <w:r>
        <w:rPr>
          <w:rFonts w:hint="default" w:ascii="Times New Roman" w:hAnsi="Times New Roman" w:eastAsia="仿宋_GB2312" w:cs="Times New Roman"/>
          <w:bCs/>
          <w:sz w:val="24"/>
          <w:szCs w:val="24"/>
          <w:lang w:eastAsia="zh-CN"/>
        </w:rPr>
        <w:t>集聚</w:t>
      </w:r>
      <w:r>
        <w:rPr>
          <w:rFonts w:hint="default" w:ascii="Times New Roman" w:hAnsi="Times New Roman" w:eastAsia="仿宋_GB2312" w:cs="Times New Roman"/>
          <w:bCs/>
          <w:sz w:val="24"/>
          <w:szCs w:val="24"/>
        </w:rPr>
        <w:t>区内商品、服务的丰富度；指</w:t>
      </w:r>
      <w:r>
        <w:rPr>
          <w:rFonts w:hint="default" w:ascii="Times New Roman" w:hAnsi="Times New Roman" w:eastAsia="仿宋_GB2312" w:cs="Times New Roman"/>
          <w:sz w:val="24"/>
          <w:szCs w:val="24"/>
          <w:lang w:eastAsia="zh-CN"/>
        </w:rPr>
        <w:t>集聚</w:t>
      </w:r>
      <w:r>
        <w:rPr>
          <w:rFonts w:hint="default" w:ascii="Times New Roman" w:hAnsi="Times New Roman" w:eastAsia="仿宋_GB2312" w:cs="Times New Roman"/>
          <w:bCs/>
          <w:sz w:val="24"/>
          <w:szCs w:val="24"/>
        </w:rPr>
        <w:t>区内以单独门店形式经营，或者在大型零售商业体内以专柜或店铺形式经营的品牌数量，既包括商品品牌也包括服务品牌；在统计过程中要避免同一品牌重复统计。</w:t>
      </w:r>
    </w:p>
    <w:p w14:paraId="2FB22711">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8</w:t>
      </w:r>
      <w:r>
        <w:rPr>
          <w:rFonts w:hint="default" w:ascii="Times New Roman" w:hAnsi="Times New Roman" w:eastAsia="仿宋_GB2312" w:cs="Times New Roman"/>
          <w:b/>
          <w:bCs/>
          <w:sz w:val="24"/>
          <w:szCs w:val="24"/>
        </w:rPr>
        <w:t>. 零售（品牌）：</w:t>
      </w:r>
      <w:r>
        <w:rPr>
          <w:rFonts w:hint="default" w:ascii="Times New Roman" w:hAnsi="Times New Roman" w:eastAsia="仿宋_GB2312" w:cs="Times New Roman"/>
          <w:bCs/>
          <w:sz w:val="24"/>
          <w:szCs w:val="24"/>
        </w:rPr>
        <w:t>零售是指通过买卖形式将工农业生产者生产的产品直接售给居民作为生活消费用或售给社会集团供公共消费用的商品销售行业。本指标统计</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内以专柜或店铺形式从事零售经营的品牌数量。</w:t>
      </w:r>
    </w:p>
    <w:p w14:paraId="2F4DAAA4">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9</w:t>
      </w:r>
      <w:r>
        <w:rPr>
          <w:rFonts w:hint="default" w:ascii="Times New Roman" w:hAnsi="Times New Roman" w:eastAsia="仿宋_GB2312" w:cs="Times New Roman"/>
          <w:b/>
          <w:bCs/>
          <w:sz w:val="24"/>
          <w:szCs w:val="24"/>
        </w:rPr>
        <w:t>．餐饮（品牌）：</w:t>
      </w:r>
      <w:r>
        <w:rPr>
          <w:rFonts w:hint="default" w:ascii="Times New Roman" w:hAnsi="Times New Roman" w:eastAsia="仿宋_GB2312" w:cs="Times New Roman"/>
          <w:bCs/>
          <w:sz w:val="24"/>
          <w:szCs w:val="24"/>
        </w:rPr>
        <w:t>餐饮是指以商业盈利为目的，为消费者提供餐饮服务的行业。本指标统计</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内从事餐饮经营的品牌数量。</w:t>
      </w:r>
    </w:p>
    <w:p w14:paraId="5BD25562">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10</w:t>
      </w:r>
      <w:r>
        <w:rPr>
          <w:rFonts w:hint="default" w:ascii="Times New Roman" w:hAnsi="Times New Roman" w:eastAsia="仿宋_GB2312" w:cs="Times New Roman"/>
          <w:b/>
          <w:bCs/>
          <w:sz w:val="24"/>
          <w:szCs w:val="24"/>
        </w:rPr>
        <w:t>．文娱休闲（品牌）：</w:t>
      </w:r>
      <w:r>
        <w:rPr>
          <w:rFonts w:hint="default" w:ascii="Times New Roman" w:hAnsi="Times New Roman" w:eastAsia="仿宋_GB2312" w:cs="Times New Roman"/>
          <w:bCs/>
          <w:sz w:val="24"/>
          <w:szCs w:val="24"/>
        </w:rPr>
        <w:t>文娱休闲是指为文化娱乐休闲服务提供场所和服务的行业，如影院、游艺场所等。本指标统计</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内从事文娱休闲服务经营的品牌数量。</w:t>
      </w:r>
    </w:p>
    <w:p w14:paraId="1B7E0C62">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11</w:t>
      </w:r>
      <w:r>
        <w:rPr>
          <w:rFonts w:hint="default" w:ascii="Times New Roman" w:hAnsi="Times New Roman" w:eastAsia="仿宋_GB2312" w:cs="Times New Roman"/>
          <w:b/>
          <w:bCs/>
          <w:sz w:val="24"/>
          <w:szCs w:val="24"/>
        </w:rPr>
        <w:t>．其他服务业（品牌）：</w:t>
      </w:r>
      <w:r>
        <w:rPr>
          <w:rFonts w:hint="default" w:ascii="Times New Roman" w:hAnsi="Times New Roman" w:eastAsia="仿宋_GB2312" w:cs="Times New Roman"/>
          <w:bCs/>
          <w:sz w:val="24"/>
          <w:szCs w:val="24"/>
        </w:rPr>
        <w:t>其他服务业是指以适应居民消费结构升级趋势为主要目的，没有有形产品，以服务为主的行业。如</w:t>
      </w:r>
      <w:r>
        <w:rPr>
          <w:rFonts w:hint="default" w:ascii="Times New Roman" w:hAnsi="Times New Roman" w:eastAsia="仿宋_GB2312" w:cs="Times New Roman"/>
          <w:bCs/>
          <w:sz w:val="24"/>
          <w:szCs w:val="24"/>
          <w:lang w:eastAsia="zh-CN"/>
        </w:rPr>
        <w:t>住宿服务、</w:t>
      </w:r>
      <w:r>
        <w:rPr>
          <w:rFonts w:hint="default" w:ascii="Times New Roman" w:hAnsi="Times New Roman" w:eastAsia="仿宋_GB2312" w:cs="Times New Roman"/>
          <w:bCs/>
          <w:sz w:val="24"/>
          <w:szCs w:val="24"/>
        </w:rPr>
        <w:t>居民服务、教育服务、旅游服务、修理和其他服务业等。本指标统计</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内从事消费性服务业经营的品牌数量。</w:t>
      </w:r>
    </w:p>
    <w:p w14:paraId="4E211C18">
      <w:pPr>
        <w:widowControl/>
        <w:jc w:val="left"/>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12. 品牌连锁率：</w:t>
      </w:r>
      <w:r>
        <w:rPr>
          <w:rFonts w:hint="default" w:ascii="Times New Roman" w:hAnsi="Times New Roman" w:eastAsia="仿宋_GB2312" w:cs="Times New Roman"/>
          <w:b w:val="0"/>
          <w:bCs w:val="0"/>
          <w:sz w:val="24"/>
          <w:szCs w:val="24"/>
          <w:lang w:val="en-US" w:eastAsia="zh-CN"/>
        </w:rPr>
        <w:t>连锁品牌商铺数量占集聚区总商铺数量比重。</w:t>
      </w:r>
    </w:p>
    <w:p w14:paraId="5C10E830">
      <w:pPr>
        <w:widowControl/>
        <w:jc w:val="left"/>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
          <w:bCs/>
          <w:sz w:val="24"/>
          <w:szCs w:val="24"/>
          <w:lang w:val="en-US" w:eastAsia="zh-CN"/>
        </w:rPr>
        <w:t xml:space="preserve">13. </w:t>
      </w:r>
      <w:r>
        <w:rPr>
          <w:rFonts w:hint="default" w:ascii="Times New Roman" w:hAnsi="Times New Roman" w:eastAsia="仿宋_GB2312" w:cs="Times New Roman"/>
          <w:b/>
          <w:bCs/>
          <w:sz w:val="24"/>
          <w:szCs w:val="24"/>
          <w:lang w:eastAsia="zh-CN"/>
        </w:rPr>
        <w:t>限额以上商铺：</w:t>
      </w:r>
      <w:r>
        <w:rPr>
          <w:rFonts w:hint="default" w:ascii="Times New Roman" w:hAnsi="Times New Roman" w:eastAsia="仿宋_GB2312" w:cs="Times New Roman"/>
          <w:bCs/>
          <w:sz w:val="24"/>
          <w:szCs w:val="24"/>
          <w:lang w:eastAsia="zh-CN"/>
        </w:rPr>
        <w:t>限额以上商铺指批发、零售、住宿、餐饮企业年营业收入超过一定限额（批发业2000万元以上、零售业500万元以上、住宿业200万元以上、餐饮业200万元以上），并依法依规纳入统计部门统计的企业所开设的商铺。本指标可由所在地商务主管部门、统计部门配合提供。</w:t>
      </w:r>
    </w:p>
    <w:p w14:paraId="246064DC">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14</w:t>
      </w:r>
      <w:r>
        <w:rPr>
          <w:rFonts w:hint="default" w:ascii="Times New Roman" w:hAnsi="Times New Roman" w:eastAsia="仿宋_GB2312" w:cs="Times New Roman"/>
          <w:b/>
          <w:bCs/>
          <w:sz w:val="24"/>
          <w:szCs w:val="24"/>
        </w:rPr>
        <w:t>. 旗舰店数量：</w:t>
      </w:r>
      <w:r>
        <w:rPr>
          <w:rFonts w:hint="default" w:ascii="Times New Roman" w:hAnsi="Times New Roman" w:eastAsia="仿宋_GB2312" w:cs="Times New Roman"/>
          <w:bCs/>
          <w:sz w:val="24"/>
          <w:szCs w:val="24"/>
        </w:rPr>
        <w:t>旗舰店指</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引进某国内外连锁品牌时，店铺面积、装修标准、服务水平等达到该品牌旗舰店标准；本指标统计</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内旗舰店的数量。</w:t>
      </w:r>
    </w:p>
    <w:p w14:paraId="2CDA5C35">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lang w:val="en-US" w:eastAsia="zh-CN"/>
        </w:rPr>
        <w:t>15</w:t>
      </w:r>
      <w:r>
        <w:rPr>
          <w:rFonts w:hint="default" w:ascii="Times New Roman" w:hAnsi="Times New Roman" w:eastAsia="仿宋_GB2312" w:cs="Times New Roman"/>
          <w:b/>
          <w:sz w:val="24"/>
          <w:szCs w:val="24"/>
        </w:rPr>
        <w:t>. 首店数量：</w:t>
      </w:r>
      <w:r>
        <w:rPr>
          <w:rFonts w:hint="default" w:ascii="Times New Roman" w:hAnsi="Times New Roman" w:eastAsia="仿宋_GB2312" w:cs="Times New Roman"/>
          <w:sz w:val="24"/>
          <w:szCs w:val="24"/>
        </w:rPr>
        <w:t>首店是指</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引进的品牌为区域（省、直辖市、计划单列市）内的首个门店；本指标统计</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内品牌首店的数量。</w:t>
      </w:r>
    </w:p>
    <w:p w14:paraId="790D0CE5">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16</w:t>
      </w:r>
      <w:r>
        <w:rPr>
          <w:rFonts w:hint="default" w:ascii="Times New Roman" w:hAnsi="Times New Roman" w:eastAsia="仿宋_GB2312" w:cs="Times New Roman"/>
          <w:b/>
          <w:bCs/>
          <w:sz w:val="24"/>
          <w:szCs w:val="24"/>
        </w:rPr>
        <w:t>. 中华老字号品牌：</w:t>
      </w:r>
      <w:r>
        <w:rPr>
          <w:rFonts w:hint="default" w:ascii="Times New Roman" w:hAnsi="Times New Roman" w:eastAsia="仿宋_GB2312" w:cs="Times New Roman"/>
          <w:sz w:val="24"/>
          <w:szCs w:val="24"/>
        </w:rPr>
        <w:t>被认定为中华老字号品牌的品牌数量。</w:t>
      </w:r>
    </w:p>
    <w:p w14:paraId="218F14E9">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17</w:t>
      </w:r>
      <w:r>
        <w:rPr>
          <w:rFonts w:hint="default" w:ascii="Times New Roman" w:hAnsi="Times New Roman" w:eastAsia="仿宋_GB2312" w:cs="Times New Roman"/>
          <w:b/>
          <w:bCs/>
          <w:sz w:val="24"/>
          <w:szCs w:val="24"/>
        </w:rPr>
        <w:t xml:space="preserve">. </w:t>
      </w:r>
      <w:r>
        <w:rPr>
          <w:rFonts w:hint="default" w:ascii="Times New Roman" w:hAnsi="Times New Roman" w:eastAsia="仿宋_GB2312" w:cs="Times New Roman"/>
          <w:b/>
          <w:bCs/>
          <w:sz w:val="24"/>
          <w:szCs w:val="24"/>
          <w:lang w:eastAsia="zh-CN"/>
        </w:rPr>
        <w:t>广西</w:t>
      </w:r>
      <w:r>
        <w:rPr>
          <w:rFonts w:hint="default" w:ascii="Times New Roman" w:hAnsi="Times New Roman" w:eastAsia="仿宋_GB2312" w:cs="Times New Roman"/>
          <w:b/>
          <w:bCs/>
          <w:sz w:val="24"/>
          <w:szCs w:val="24"/>
        </w:rPr>
        <w:t>老字号品牌：</w:t>
      </w:r>
      <w:r>
        <w:rPr>
          <w:rFonts w:hint="default" w:ascii="Times New Roman" w:hAnsi="Times New Roman" w:eastAsia="仿宋_GB2312" w:cs="Times New Roman"/>
          <w:sz w:val="24"/>
          <w:szCs w:val="24"/>
        </w:rPr>
        <w:t>被认定为</w:t>
      </w:r>
      <w:r>
        <w:rPr>
          <w:rFonts w:hint="default" w:ascii="Times New Roman" w:hAnsi="Times New Roman" w:eastAsia="仿宋_GB2312" w:cs="Times New Roman"/>
          <w:sz w:val="24"/>
          <w:szCs w:val="24"/>
          <w:lang w:eastAsia="zh-CN"/>
        </w:rPr>
        <w:t>广西</w:t>
      </w:r>
      <w:r>
        <w:rPr>
          <w:rFonts w:hint="default" w:ascii="Times New Roman" w:hAnsi="Times New Roman" w:eastAsia="仿宋_GB2312" w:cs="Times New Roman"/>
          <w:sz w:val="24"/>
          <w:szCs w:val="24"/>
        </w:rPr>
        <w:t>老字号品牌的品牌数量。</w:t>
      </w:r>
    </w:p>
    <w:p w14:paraId="0D0D0796">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18</w:t>
      </w:r>
      <w:r>
        <w:rPr>
          <w:rFonts w:hint="default" w:ascii="Times New Roman" w:hAnsi="Times New Roman" w:eastAsia="仿宋_GB2312" w:cs="Times New Roman"/>
          <w:b/>
          <w:bCs/>
          <w:sz w:val="24"/>
          <w:szCs w:val="24"/>
        </w:rPr>
        <w:t>. 世界级</w:t>
      </w:r>
      <w:r>
        <w:rPr>
          <w:rFonts w:hint="default" w:ascii="Times New Roman" w:hAnsi="Times New Roman" w:eastAsia="仿宋_GB2312" w:cs="Times New Roman"/>
          <w:b/>
          <w:bCs/>
          <w:sz w:val="24"/>
          <w:szCs w:val="24"/>
          <w:lang w:eastAsia="zh-CN"/>
        </w:rPr>
        <w:t>、</w:t>
      </w:r>
      <w:r>
        <w:rPr>
          <w:rFonts w:hint="default" w:ascii="Times New Roman" w:hAnsi="Times New Roman" w:eastAsia="仿宋_GB2312" w:cs="Times New Roman"/>
          <w:b/>
          <w:bCs/>
          <w:sz w:val="24"/>
          <w:szCs w:val="24"/>
        </w:rPr>
        <w:t>国家级</w:t>
      </w:r>
      <w:r>
        <w:rPr>
          <w:rFonts w:hint="default" w:ascii="Times New Roman" w:hAnsi="Times New Roman" w:eastAsia="仿宋_GB2312" w:cs="Times New Roman"/>
          <w:b/>
          <w:bCs/>
          <w:sz w:val="24"/>
          <w:szCs w:val="24"/>
          <w:lang w:eastAsia="zh-CN"/>
        </w:rPr>
        <w:t>、自治区级</w:t>
      </w:r>
      <w:r>
        <w:rPr>
          <w:rFonts w:hint="default" w:ascii="Times New Roman" w:hAnsi="Times New Roman" w:eastAsia="仿宋_GB2312" w:cs="Times New Roman"/>
          <w:b/>
          <w:bCs/>
          <w:sz w:val="24"/>
          <w:szCs w:val="24"/>
        </w:rPr>
        <w:t>非遗项目：</w:t>
      </w:r>
      <w:r>
        <w:rPr>
          <w:rFonts w:hint="default" w:ascii="Times New Roman" w:hAnsi="Times New Roman" w:eastAsia="仿宋_GB2312" w:cs="Times New Roman"/>
          <w:sz w:val="24"/>
          <w:szCs w:val="24"/>
        </w:rPr>
        <w:t>被评为世界级</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国家级</w:t>
      </w:r>
      <w:r>
        <w:rPr>
          <w:rFonts w:hint="default" w:ascii="Times New Roman" w:hAnsi="Times New Roman" w:eastAsia="仿宋_GB2312" w:cs="Times New Roman"/>
          <w:sz w:val="24"/>
          <w:szCs w:val="24"/>
          <w:lang w:eastAsia="zh-CN"/>
        </w:rPr>
        <w:t>、自治区级</w:t>
      </w:r>
      <w:r>
        <w:rPr>
          <w:rFonts w:hint="default" w:ascii="Times New Roman" w:hAnsi="Times New Roman" w:eastAsia="仿宋_GB2312" w:cs="Times New Roman"/>
          <w:sz w:val="24"/>
          <w:szCs w:val="24"/>
        </w:rPr>
        <w:t>非物质文化（含技艺）的门店、展示点数量。</w:t>
      </w:r>
    </w:p>
    <w:p w14:paraId="6AB5081E">
      <w:pPr>
        <w:widowControl/>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lang w:val="en-US" w:eastAsia="zh-CN"/>
        </w:rPr>
        <w:t>19</w:t>
      </w:r>
      <w:r>
        <w:rPr>
          <w:rFonts w:hint="default" w:ascii="Times New Roman" w:hAnsi="Times New Roman" w:eastAsia="仿宋_GB2312" w:cs="Times New Roman"/>
          <w:b/>
          <w:bCs/>
          <w:sz w:val="24"/>
          <w:szCs w:val="24"/>
        </w:rPr>
        <w:t>. 美术馆、艺术馆：</w:t>
      </w:r>
      <w:r>
        <w:rPr>
          <w:rFonts w:hint="default" w:ascii="Times New Roman" w:hAnsi="Times New Roman" w:eastAsia="仿宋_GB2312" w:cs="Times New Roman"/>
          <w:sz w:val="24"/>
          <w:szCs w:val="24"/>
        </w:rPr>
        <w:t>在</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内对社会公众开放的美术馆、艺术馆数量。</w:t>
      </w:r>
    </w:p>
    <w:p w14:paraId="2A979CBB">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rPr>
        <w:t>. 博物馆：</w:t>
      </w:r>
      <w:r>
        <w:rPr>
          <w:rFonts w:hint="default" w:ascii="Times New Roman" w:hAnsi="Times New Roman" w:eastAsia="仿宋_GB2312" w:cs="Times New Roman"/>
          <w:sz w:val="24"/>
          <w:szCs w:val="24"/>
        </w:rPr>
        <w:t>在</w:t>
      </w:r>
      <w:r>
        <w:rPr>
          <w:rFonts w:hint="default" w:ascii="Times New Roman" w:hAnsi="Times New Roman" w:eastAsia="仿宋_GB2312" w:cs="Times New Roman"/>
          <w:sz w:val="24"/>
          <w:szCs w:val="24"/>
          <w:lang w:eastAsia="zh-CN"/>
        </w:rPr>
        <w:t>集聚区</w:t>
      </w:r>
      <w:r>
        <w:rPr>
          <w:rFonts w:hint="default" w:ascii="Times New Roman" w:hAnsi="Times New Roman" w:eastAsia="仿宋_GB2312" w:cs="Times New Roman"/>
          <w:sz w:val="24"/>
          <w:szCs w:val="24"/>
        </w:rPr>
        <w:t>内对社会公众开放的博物馆数量。</w:t>
      </w:r>
    </w:p>
    <w:p w14:paraId="73CAD39A">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21</w:t>
      </w:r>
      <w:r>
        <w:rPr>
          <w:rFonts w:hint="default" w:ascii="Times New Roman" w:hAnsi="Times New Roman" w:eastAsia="仿宋_GB2312" w:cs="Times New Roman"/>
          <w:b/>
          <w:bCs/>
          <w:sz w:val="24"/>
          <w:szCs w:val="24"/>
        </w:rPr>
        <w:t>. 客流量：</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内以消费为目的的客流人次，不含在</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内及附近工作和居住的客流。一般可以从通信运营商处通过电子围栏手段获得，或者通过安装智能视频客流分析系统获得。</w:t>
      </w:r>
    </w:p>
    <w:p w14:paraId="447B1055">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22</w:t>
      </w:r>
      <w:r>
        <w:rPr>
          <w:rFonts w:hint="default" w:ascii="Times New Roman" w:hAnsi="Times New Roman" w:eastAsia="仿宋_GB2312" w:cs="Times New Roman"/>
          <w:b/>
          <w:bCs/>
          <w:sz w:val="24"/>
          <w:szCs w:val="24"/>
        </w:rPr>
        <w:t>．</w:t>
      </w:r>
      <w:r>
        <w:rPr>
          <w:rFonts w:hint="default" w:ascii="Times New Roman" w:hAnsi="Times New Roman" w:eastAsia="仿宋_GB2312" w:cs="Times New Roman"/>
          <w:b/>
          <w:bCs/>
          <w:sz w:val="24"/>
          <w:szCs w:val="24"/>
          <w:lang w:eastAsia="zh-CN"/>
        </w:rPr>
        <w:t>集聚区</w:t>
      </w:r>
      <w:r>
        <w:rPr>
          <w:rFonts w:hint="default" w:ascii="Times New Roman" w:hAnsi="Times New Roman" w:eastAsia="仿宋_GB2312" w:cs="Times New Roman"/>
          <w:b/>
          <w:bCs/>
          <w:sz w:val="24"/>
          <w:szCs w:val="24"/>
        </w:rPr>
        <w:t>总营业额：</w:t>
      </w:r>
      <w:r>
        <w:rPr>
          <w:rFonts w:hint="default" w:ascii="Times New Roman" w:hAnsi="Times New Roman" w:eastAsia="仿宋_GB2312" w:cs="Times New Roman"/>
          <w:bCs/>
          <w:sz w:val="24"/>
          <w:szCs w:val="24"/>
        </w:rPr>
        <w:t>指</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内从事零售、餐饮、文娱休闲及其他服务业企业（单位）的商品销售和服务交易的总金额。</w:t>
      </w:r>
    </w:p>
    <w:p w14:paraId="6778438F">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23</w:t>
      </w:r>
      <w:r>
        <w:rPr>
          <w:rFonts w:hint="default" w:ascii="Times New Roman" w:hAnsi="Times New Roman" w:eastAsia="仿宋_GB2312" w:cs="Times New Roman"/>
          <w:b/>
          <w:bCs/>
          <w:sz w:val="24"/>
          <w:szCs w:val="24"/>
        </w:rPr>
        <w:t>．零售（营业额）：</w:t>
      </w:r>
      <w:r>
        <w:rPr>
          <w:rFonts w:hint="default" w:ascii="Times New Roman" w:hAnsi="Times New Roman" w:eastAsia="仿宋_GB2312" w:cs="Times New Roman"/>
          <w:bCs/>
          <w:sz w:val="24"/>
          <w:szCs w:val="24"/>
        </w:rPr>
        <w:t>指</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内从事零售经营的企业（单位）销售商品的</w:t>
      </w:r>
      <w:r>
        <w:rPr>
          <w:rFonts w:hint="default" w:ascii="Times New Roman" w:hAnsi="Times New Roman" w:eastAsia="仿宋_GB2312" w:cs="Times New Roman"/>
          <w:bCs/>
          <w:sz w:val="24"/>
          <w:szCs w:val="24"/>
          <w:lang w:eastAsia="zh-CN"/>
        </w:rPr>
        <w:t>年</w:t>
      </w:r>
      <w:r>
        <w:rPr>
          <w:rFonts w:hint="default" w:ascii="Times New Roman" w:hAnsi="Times New Roman" w:eastAsia="仿宋_GB2312" w:cs="Times New Roman"/>
          <w:bCs/>
          <w:sz w:val="24"/>
          <w:szCs w:val="24"/>
        </w:rPr>
        <w:t>度总金额。</w:t>
      </w:r>
    </w:p>
    <w:p w14:paraId="48D4F4D3">
      <w:pPr>
        <w:widowControl/>
        <w:jc w:val="left"/>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
          <w:bCs/>
          <w:sz w:val="24"/>
          <w:szCs w:val="24"/>
          <w:lang w:val="en-US" w:eastAsia="zh-CN"/>
        </w:rPr>
        <w:t>24</w:t>
      </w:r>
      <w:r>
        <w:rPr>
          <w:rFonts w:hint="default" w:ascii="Times New Roman" w:hAnsi="Times New Roman" w:eastAsia="仿宋_GB2312" w:cs="Times New Roman"/>
          <w:b/>
          <w:bCs/>
          <w:sz w:val="24"/>
          <w:szCs w:val="24"/>
        </w:rPr>
        <w:t>．餐饮（营业额）：</w:t>
      </w:r>
      <w:r>
        <w:rPr>
          <w:rFonts w:hint="default" w:ascii="Times New Roman" w:hAnsi="Times New Roman" w:eastAsia="仿宋_GB2312" w:cs="Times New Roman"/>
          <w:bCs/>
          <w:sz w:val="24"/>
          <w:szCs w:val="24"/>
        </w:rPr>
        <w:t>指</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内餐饮企业（单位）在经营活动中因提供服务或销售商品等取得的全部收入</w:t>
      </w:r>
      <w:r>
        <w:rPr>
          <w:rFonts w:hint="default" w:ascii="Times New Roman" w:hAnsi="Times New Roman" w:eastAsia="仿宋_GB2312" w:cs="Times New Roman"/>
          <w:bCs/>
          <w:sz w:val="24"/>
          <w:szCs w:val="24"/>
          <w:lang w:eastAsia="zh-CN"/>
        </w:rPr>
        <w:t>。</w:t>
      </w:r>
    </w:p>
    <w:p w14:paraId="4206DF46">
      <w:pPr>
        <w:widowControl/>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
          <w:bCs/>
          <w:sz w:val="24"/>
          <w:szCs w:val="24"/>
          <w:lang w:val="en-US" w:eastAsia="zh-CN"/>
        </w:rPr>
        <w:t>25</w:t>
      </w:r>
      <w:r>
        <w:rPr>
          <w:rFonts w:hint="default" w:ascii="Times New Roman" w:hAnsi="Times New Roman" w:eastAsia="仿宋_GB2312" w:cs="Times New Roman"/>
          <w:b/>
          <w:bCs/>
          <w:sz w:val="24"/>
          <w:szCs w:val="24"/>
        </w:rPr>
        <w:t>．文娱休闲（营业额）：</w:t>
      </w:r>
      <w:r>
        <w:rPr>
          <w:rFonts w:hint="default" w:ascii="Times New Roman" w:hAnsi="Times New Roman" w:eastAsia="仿宋_GB2312" w:cs="Times New Roman"/>
          <w:bCs/>
          <w:sz w:val="24"/>
          <w:szCs w:val="24"/>
        </w:rPr>
        <w:t>指</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内文娱休闲企业（单位）在经营活动中因提供服务或销售商品等取得的全部收入。</w:t>
      </w:r>
    </w:p>
    <w:p w14:paraId="3914BE2D">
      <w:pPr>
        <w:widowControl/>
        <w:jc w:val="left"/>
        <w:rPr>
          <w:rFonts w:hint="default" w:ascii="Times New Roman" w:hAnsi="Times New Roman" w:eastAsia="仿宋_GB2312" w:cs="Times New Roman"/>
          <w:b/>
          <w:bCs/>
          <w:color w:val="000000"/>
          <w:sz w:val="24"/>
          <w:szCs w:val="24"/>
        </w:rPr>
      </w:pPr>
      <w:r>
        <w:rPr>
          <w:rFonts w:hint="default" w:ascii="Times New Roman" w:hAnsi="Times New Roman" w:eastAsia="仿宋_GB2312" w:cs="Times New Roman"/>
          <w:b/>
          <w:bCs/>
          <w:sz w:val="24"/>
          <w:szCs w:val="24"/>
          <w:lang w:val="en-US" w:eastAsia="zh-CN"/>
        </w:rPr>
        <w:t>26</w:t>
      </w:r>
      <w:r>
        <w:rPr>
          <w:rFonts w:hint="default" w:ascii="Times New Roman" w:hAnsi="Times New Roman" w:eastAsia="仿宋_GB2312" w:cs="Times New Roman"/>
          <w:b/>
          <w:bCs/>
          <w:sz w:val="24"/>
          <w:szCs w:val="24"/>
        </w:rPr>
        <w:t>．其他服务业（营业额）：</w:t>
      </w:r>
      <w:r>
        <w:rPr>
          <w:rFonts w:hint="default" w:ascii="Times New Roman" w:hAnsi="Times New Roman" w:eastAsia="仿宋_GB2312" w:cs="Times New Roman"/>
          <w:bCs/>
          <w:sz w:val="24"/>
          <w:szCs w:val="24"/>
        </w:rPr>
        <w:t>指</w:t>
      </w:r>
      <w:r>
        <w:rPr>
          <w:rFonts w:hint="default" w:ascii="Times New Roman" w:hAnsi="Times New Roman" w:eastAsia="仿宋_GB2312" w:cs="Times New Roman"/>
          <w:bCs/>
          <w:sz w:val="24"/>
          <w:szCs w:val="24"/>
          <w:lang w:eastAsia="zh-CN"/>
        </w:rPr>
        <w:t>集聚区</w:t>
      </w:r>
      <w:r>
        <w:rPr>
          <w:rFonts w:hint="default" w:ascii="Times New Roman" w:hAnsi="Times New Roman" w:eastAsia="仿宋_GB2312" w:cs="Times New Roman"/>
          <w:bCs/>
          <w:sz w:val="24"/>
          <w:szCs w:val="24"/>
        </w:rPr>
        <w:t>内消费性服务业企业（单位）在经营活动中因提供服务或销售商品等取得的全部收入。</w:t>
      </w:r>
    </w:p>
    <w:p w14:paraId="014413D2">
      <w:pPr>
        <w:rPr>
          <w:rFonts w:hint="default" w:ascii="Times New Roman" w:hAnsi="Times New Roman" w:eastAsia="仿宋_GB2312" w:cs="Times New Roman"/>
          <w:bCs/>
          <w:sz w:val="24"/>
          <w:szCs w:val="24"/>
        </w:rPr>
      </w:pPr>
    </w:p>
    <w:p w14:paraId="11888BC5">
      <w:pPr>
        <w:rPr>
          <w:rFonts w:hint="default" w:ascii="Times New Roman" w:hAnsi="Times New Roman" w:eastAsia="仿宋_GB2312" w:cs="Times New Roman"/>
          <w:b/>
          <w:bCs/>
          <w:sz w:val="24"/>
          <w:szCs w:val="24"/>
        </w:rPr>
        <w:sectPr>
          <w:pgSz w:w="11906" w:h="16838"/>
          <w:pgMar w:top="1440" w:right="1797" w:bottom="1440" w:left="1797" w:header="851" w:footer="992" w:gutter="0"/>
          <w:pgNumType w:fmt="decimal"/>
          <w:cols w:space="720" w:num="1"/>
          <w:docGrid w:type="lines" w:linePitch="312" w:charSpace="0"/>
        </w:sectPr>
      </w:pPr>
      <w:r>
        <w:rPr>
          <w:rFonts w:hint="default" w:ascii="Times New Roman" w:hAnsi="Times New Roman" w:eastAsia="仿宋_GB2312" w:cs="Times New Roman"/>
          <w:b/>
          <w:bCs/>
          <w:sz w:val="24"/>
          <w:szCs w:val="24"/>
        </w:rPr>
        <w:t>除特殊说明外，</w:t>
      </w:r>
      <w:r>
        <w:rPr>
          <w:rFonts w:hint="default" w:ascii="Times New Roman" w:hAnsi="Times New Roman" w:eastAsia="仿宋_GB2312" w:cs="Times New Roman"/>
          <w:b/>
          <w:bCs/>
          <w:sz w:val="24"/>
          <w:szCs w:val="24"/>
          <w:lang w:eastAsia="zh-CN"/>
        </w:rPr>
        <w:t>标注“</w:t>
      </w:r>
      <w:r>
        <w:rPr>
          <w:rFonts w:hint="default" w:ascii="Times New Roman" w:hAnsi="Times New Roman" w:eastAsia="仿宋_GB2312" w:cs="Times New Roman"/>
          <w:b/>
          <w:bCs/>
          <w:sz w:val="24"/>
          <w:szCs w:val="24"/>
          <w:lang w:val="en-US" w:eastAsia="zh-CN"/>
        </w:rPr>
        <w:t>/</w:t>
      </w:r>
      <w:r>
        <w:rPr>
          <w:rFonts w:hint="default" w:ascii="Times New Roman" w:hAnsi="Times New Roman" w:eastAsia="仿宋_GB2312" w:cs="Times New Roman"/>
          <w:b/>
          <w:bCs/>
          <w:sz w:val="24"/>
          <w:szCs w:val="24"/>
          <w:lang w:eastAsia="zh-CN"/>
        </w:rPr>
        <w:t>”无需填写，</w:t>
      </w:r>
      <w:r>
        <w:rPr>
          <w:rFonts w:hint="default" w:ascii="Times New Roman" w:hAnsi="Times New Roman" w:eastAsia="仿宋_GB2312" w:cs="Times New Roman"/>
          <w:b/>
          <w:bCs/>
          <w:sz w:val="24"/>
          <w:szCs w:val="24"/>
        </w:rPr>
        <w:t>相关数据均为年度采集，填写全年总量或截至年末存量数据。</w:t>
      </w:r>
    </w:p>
    <w:p w14:paraId="4151457B">
      <w:pPr>
        <w:widowControl w:val="0"/>
        <w:wordWrap/>
        <w:adjustRightInd/>
        <w:snapToGrid/>
        <w:spacing w:before="0" w:after="0" w:line="600" w:lineRule="exact"/>
        <w:ind w:left="0" w:leftChars="0" w:right="0"/>
        <w:textAlignment w:val="auto"/>
        <w:outlineLvl w:val="9"/>
        <w:rPr>
          <w:rFonts w:hint="default" w:ascii="Times New Roman" w:hAnsi="Times New Roman" w:eastAsia="黑体" w:cs="Times New Roman"/>
          <w:sz w:val="32"/>
          <w:szCs w:val="32"/>
          <w:lang w:val="en-US"/>
        </w:rPr>
      </w:pPr>
      <w:bookmarkStart w:id="1" w:name="_Toc529785705"/>
      <w:bookmarkStart w:id="2" w:name="_Toc529455477"/>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66A6C710">
      <w:pPr>
        <w:widowControl w:val="0"/>
        <w:wordWrap/>
        <w:adjustRightInd/>
        <w:snapToGrid/>
        <w:spacing w:before="0" w:after="0" w:line="600" w:lineRule="exact"/>
        <w:ind w:left="0" w:leftChars="0" w:right="0"/>
        <w:jc w:val="center"/>
        <w:textAlignment w:val="auto"/>
        <w:outlineLvl w:val="9"/>
        <w:rPr>
          <w:rFonts w:hint="default" w:ascii="Times New Roman" w:hAnsi="Times New Roman" w:eastAsia="方正小标宋简体" w:cs="Times New Roman"/>
          <w:b w:val="0"/>
          <w:sz w:val="44"/>
          <w:szCs w:val="36"/>
          <w:lang w:eastAsia="zh-CN"/>
        </w:rPr>
      </w:pPr>
    </w:p>
    <w:p w14:paraId="779644DD">
      <w:pPr>
        <w:widowControl w:val="0"/>
        <w:wordWrap/>
        <w:adjustRightInd/>
        <w:snapToGrid/>
        <w:spacing w:before="0" w:after="0" w:line="600" w:lineRule="exact"/>
        <w:ind w:left="0" w:leftChars="0" w:right="0"/>
        <w:jc w:val="center"/>
        <w:textAlignment w:val="auto"/>
        <w:outlineLvl w:val="9"/>
        <w:rPr>
          <w:rFonts w:hint="default" w:ascii="Times New Roman" w:hAnsi="Times New Roman" w:eastAsia="方正小标宋简体" w:cs="Times New Roman"/>
          <w:b w:val="0"/>
          <w:sz w:val="44"/>
          <w:szCs w:val="36"/>
        </w:rPr>
      </w:pPr>
      <w:r>
        <w:rPr>
          <w:rFonts w:hint="default" w:ascii="Times New Roman" w:hAnsi="Times New Roman" w:eastAsia="方正小标宋简体" w:cs="Times New Roman"/>
          <w:b w:val="0"/>
          <w:sz w:val="44"/>
          <w:szCs w:val="36"/>
          <w:lang w:eastAsia="zh-CN"/>
        </w:rPr>
        <w:t>夜间消费集聚区试点培育</w:t>
      </w:r>
      <w:r>
        <w:rPr>
          <w:rFonts w:hint="default" w:ascii="Times New Roman" w:hAnsi="Times New Roman" w:eastAsia="方正小标宋简体" w:cs="Times New Roman"/>
          <w:b w:val="0"/>
          <w:sz w:val="44"/>
          <w:szCs w:val="36"/>
        </w:rPr>
        <w:t>方案</w:t>
      </w:r>
    </w:p>
    <w:p w14:paraId="78C9F60E">
      <w:pPr>
        <w:widowControl w:val="0"/>
        <w:wordWrap/>
        <w:adjustRightInd/>
        <w:snapToGrid/>
        <w:spacing w:before="0" w:after="0" w:line="600" w:lineRule="exact"/>
        <w:ind w:left="0" w:leftChars="0" w:right="0"/>
        <w:jc w:val="center"/>
        <w:textAlignment w:val="auto"/>
        <w:outlineLvl w:val="9"/>
        <w:rPr>
          <w:rFonts w:hint="default" w:ascii="Times New Roman" w:hAnsi="Times New Roman" w:eastAsia="方正小标宋简体" w:cs="Times New Roman"/>
          <w:b w:val="0"/>
          <w:sz w:val="44"/>
          <w:szCs w:val="36"/>
        </w:rPr>
      </w:pPr>
      <w:r>
        <w:rPr>
          <w:rFonts w:hint="default" w:ascii="Times New Roman" w:hAnsi="Times New Roman" w:eastAsia="方正小标宋简体" w:cs="Times New Roman"/>
          <w:b w:val="0"/>
          <w:sz w:val="44"/>
          <w:szCs w:val="36"/>
        </w:rPr>
        <w:t>编制要求</w:t>
      </w:r>
      <w:bookmarkEnd w:id="1"/>
      <w:bookmarkEnd w:id="2"/>
    </w:p>
    <w:p w14:paraId="27FC4D64">
      <w:pPr>
        <w:widowControl w:val="0"/>
        <w:wordWrap/>
        <w:adjustRightInd/>
        <w:snapToGrid/>
        <w:spacing w:before="0" w:after="0" w:line="600" w:lineRule="exact"/>
        <w:ind w:left="0" w:leftChars="0" w:right="0"/>
        <w:jc w:val="center"/>
        <w:textAlignment w:val="auto"/>
        <w:outlineLvl w:val="9"/>
        <w:rPr>
          <w:rFonts w:hint="default" w:ascii="Times New Roman" w:hAnsi="Times New Roman" w:eastAsia="方正小标宋简体" w:cs="Times New Roman"/>
          <w:sz w:val="36"/>
          <w:szCs w:val="32"/>
        </w:rPr>
      </w:pPr>
    </w:p>
    <w:p w14:paraId="0C28B177">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一、版式要求。</w:t>
      </w:r>
      <w:r>
        <w:rPr>
          <w:rFonts w:hint="default" w:ascii="Times New Roman" w:hAnsi="Times New Roman" w:eastAsia="仿宋_GB2312" w:cs="Times New Roman"/>
          <w:sz w:val="32"/>
          <w:szCs w:val="32"/>
        </w:rPr>
        <w:t>A4页面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彩色打印，左侧胶装，总页数控制在</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页</w:t>
      </w:r>
      <w:r>
        <w:rPr>
          <w:rFonts w:hint="default" w:ascii="Times New Roman" w:hAnsi="Times New Roman" w:eastAsia="仿宋_GB2312" w:cs="Times New Roman"/>
          <w:sz w:val="32"/>
          <w:szCs w:val="32"/>
          <w:lang w:eastAsia="zh-CN"/>
        </w:rPr>
        <w:t>以内</w:t>
      </w:r>
      <w:r>
        <w:rPr>
          <w:rFonts w:hint="default" w:ascii="Times New Roman" w:hAnsi="Times New Roman" w:eastAsia="仿宋_GB2312" w:cs="Times New Roman"/>
          <w:sz w:val="32"/>
          <w:szCs w:val="32"/>
        </w:rPr>
        <w:t>。封面由</w:t>
      </w:r>
      <w:r>
        <w:rPr>
          <w:rFonts w:hint="default" w:ascii="Times New Roman" w:hAnsi="Times New Roman" w:eastAsia="仿宋_GB2312" w:cs="Times New Roman"/>
          <w:sz w:val="32"/>
          <w:szCs w:val="32"/>
          <w:lang w:eastAsia="zh-CN"/>
        </w:rPr>
        <w:t>集聚</w:t>
      </w:r>
      <w:r>
        <w:rPr>
          <w:rFonts w:hint="default" w:ascii="Times New Roman" w:hAnsi="Times New Roman" w:eastAsia="仿宋_GB2312" w:cs="Times New Roman"/>
          <w:sz w:val="32"/>
          <w:szCs w:val="32"/>
        </w:rPr>
        <w:t>区照片和文字组合而成，文字采用所在城市+“××</w:t>
      </w:r>
      <w:r>
        <w:rPr>
          <w:rFonts w:hint="default" w:ascii="Times New Roman" w:hAnsi="Times New Roman" w:eastAsia="仿宋_GB2312" w:cs="Times New Roman"/>
          <w:sz w:val="32"/>
          <w:szCs w:val="32"/>
          <w:lang w:eastAsia="zh-CN"/>
        </w:rPr>
        <w:t>夜间消费集聚区试点培育</w:t>
      </w:r>
      <w:r>
        <w:rPr>
          <w:rFonts w:hint="default" w:ascii="Times New Roman" w:hAnsi="Times New Roman" w:eastAsia="仿宋_GB2312" w:cs="Times New Roman"/>
          <w:sz w:val="32"/>
          <w:szCs w:val="32"/>
        </w:rPr>
        <w:t>方案”字样，落款为</w:t>
      </w:r>
      <w:r>
        <w:rPr>
          <w:rFonts w:hint="default" w:ascii="Times New Roman" w:hAnsi="Times New Roman" w:eastAsia="仿宋_GB2312" w:cs="Times New Roman"/>
          <w:sz w:val="32"/>
          <w:szCs w:val="32"/>
          <w:lang w:eastAsia="zh-CN"/>
        </w:rPr>
        <w:t>夜间消费集聚区管理机构</w:t>
      </w:r>
      <w:r>
        <w:rPr>
          <w:rFonts w:hint="default" w:ascii="Times New Roman" w:hAnsi="Times New Roman" w:eastAsia="仿宋_GB2312" w:cs="Times New Roman"/>
          <w:sz w:val="32"/>
          <w:szCs w:val="32"/>
        </w:rPr>
        <w:t xml:space="preserve">。 </w:t>
      </w:r>
    </w:p>
    <w:p w14:paraId="39AA6C77">
      <w:pPr>
        <w:widowControl/>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二、内容要求。</w:t>
      </w:r>
      <w:r>
        <w:rPr>
          <w:rFonts w:hint="default" w:ascii="Times New Roman" w:hAnsi="Times New Roman" w:eastAsia="仿宋_GB2312" w:cs="Times New Roman"/>
          <w:sz w:val="32"/>
          <w:szCs w:val="32"/>
        </w:rPr>
        <w:t>内容图文并茂（注意图文比例，不要文字过多，也不要只有图片没有文字阐述），要求图片清晰无水印，文字大小适宜，整体配色美观、风格统一，若非必要不使用英文。主要内容包括前言和</w:t>
      </w:r>
      <w:r>
        <w:rPr>
          <w:rFonts w:hint="default" w:ascii="Times New Roman" w:hAnsi="Times New Roman" w:eastAsia="仿宋_GB2312" w:cs="Times New Roman"/>
          <w:sz w:val="32"/>
          <w:szCs w:val="32"/>
          <w:lang w:eastAsia="zh-CN"/>
        </w:rPr>
        <w:t>发展现状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试点工作目标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试点</w:t>
      </w:r>
      <w:r>
        <w:rPr>
          <w:rFonts w:hint="default" w:ascii="Times New Roman" w:hAnsi="Times New Roman" w:eastAsia="仿宋_GB2312" w:cs="Times New Roman"/>
          <w:sz w:val="32"/>
          <w:szCs w:val="32"/>
        </w:rPr>
        <w:t>主要任务和任务清单等内容。主要内容包括以下方面：</w:t>
      </w:r>
    </w:p>
    <w:p w14:paraId="0FF7E68D">
      <w:pPr>
        <w:widowControl w:val="0"/>
        <w:wordWrap/>
        <w:adjustRightInd/>
        <w:snapToGrid/>
        <w:spacing w:before="313" w:beforeLines="100" w:after="313" w:afterLines="100" w:line="600" w:lineRule="exact"/>
        <w:ind w:left="0" w:leftChars="0"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前  言</w:t>
      </w:r>
    </w:p>
    <w:p w14:paraId="4932B11D">
      <w:pPr>
        <w:widowControl w:val="0"/>
        <w:wordWrap/>
        <w:adjustRightInd/>
        <w:snapToGrid/>
        <w:spacing w:before="0" w:after="0" w:line="60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简要描述方案的主要内容，字数控制在800字左右。体现贯彻落实</w:t>
      </w:r>
      <w:r>
        <w:rPr>
          <w:rFonts w:hint="default" w:ascii="Times New Roman" w:hAnsi="Times New Roman" w:eastAsia="仿宋_GB2312" w:cs="Times New Roman"/>
          <w:sz w:val="32"/>
          <w:szCs w:val="32"/>
          <w:lang w:eastAsia="zh-CN"/>
        </w:rPr>
        <w:t>国家和我区有关</w:t>
      </w:r>
      <w:r>
        <w:rPr>
          <w:rFonts w:hint="default" w:ascii="Times New Roman" w:hAnsi="Times New Roman" w:eastAsia="仿宋_GB2312" w:cs="Times New Roman"/>
          <w:sz w:val="32"/>
          <w:szCs w:val="32"/>
        </w:rPr>
        <w:t>文件精神，结合城市发展定位和总体规划，按照对标国</w:t>
      </w:r>
      <w:r>
        <w:rPr>
          <w:rFonts w:hint="default" w:ascii="Times New Roman" w:hAnsi="Times New Roman" w:eastAsia="仿宋_GB2312" w:cs="Times New Roman"/>
          <w:sz w:val="32"/>
          <w:szCs w:val="32"/>
          <w:lang w:eastAsia="zh-CN"/>
        </w:rPr>
        <w:t>内</w:t>
      </w:r>
      <w:r>
        <w:rPr>
          <w:rFonts w:hint="default" w:ascii="Times New Roman" w:hAnsi="Times New Roman" w:eastAsia="仿宋_GB2312" w:cs="Times New Roman"/>
          <w:sz w:val="32"/>
          <w:szCs w:val="32"/>
        </w:rPr>
        <w:t>一流、彰显</w:t>
      </w:r>
      <w:r>
        <w:rPr>
          <w:rFonts w:hint="default" w:ascii="Times New Roman" w:hAnsi="Times New Roman" w:eastAsia="仿宋_GB2312" w:cs="Times New Roman"/>
          <w:sz w:val="32"/>
          <w:szCs w:val="32"/>
          <w:lang w:eastAsia="zh-CN"/>
        </w:rPr>
        <w:t>广西</w:t>
      </w:r>
      <w:r>
        <w:rPr>
          <w:rFonts w:hint="default" w:ascii="Times New Roman" w:hAnsi="Times New Roman" w:eastAsia="仿宋_GB2312" w:cs="Times New Roman"/>
          <w:sz w:val="32"/>
          <w:szCs w:val="32"/>
        </w:rPr>
        <w:t>特色的原则，对照《</w:t>
      </w:r>
      <w:r>
        <w:rPr>
          <w:rFonts w:hint="default" w:ascii="Times New Roman" w:hAnsi="Times New Roman" w:eastAsia="仿宋_GB2312" w:cs="Times New Roman"/>
          <w:i w:val="0"/>
          <w:caps w:val="0"/>
          <w:spacing w:val="0"/>
          <w:kern w:val="2"/>
          <w:sz w:val="32"/>
          <w:szCs w:val="32"/>
          <w:shd w:val="clear" w:color="auto" w:fill="auto"/>
          <w:lang w:bidi="ar-SA"/>
        </w:rPr>
        <w:t>自治区</w:t>
      </w:r>
      <w:r>
        <w:rPr>
          <w:rFonts w:hint="default" w:ascii="Times New Roman" w:hAnsi="Times New Roman" w:eastAsia="仿宋_GB2312" w:cs="Times New Roman"/>
          <w:i w:val="0"/>
          <w:caps w:val="0"/>
          <w:spacing w:val="0"/>
          <w:kern w:val="2"/>
          <w:sz w:val="32"/>
          <w:szCs w:val="32"/>
          <w:shd w:val="clear" w:color="auto" w:fill="auto"/>
          <w:lang w:eastAsia="zh-CN" w:bidi="ar-SA"/>
        </w:rPr>
        <w:t>级</w:t>
      </w:r>
      <w:r>
        <w:rPr>
          <w:rFonts w:hint="default" w:ascii="Times New Roman" w:hAnsi="Times New Roman" w:eastAsia="仿宋_GB2312" w:cs="Times New Roman"/>
          <w:i w:val="0"/>
          <w:caps w:val="0"/>
          <w:spacing w:val="0"/>
          <w:kern w:val="2"/>
          <w:sz w:val="32"/>
          <w:szCs w:val="32"/>
          <w:shd w:val="clear" w:color="auto" w:fill="auto"/>
          <w:lang w:bidi="ar-SA"/>
        </w:rPr>
        <w:t>夜间消费集聚区</w:t>
      </w:r>
      <w:r>
        <w:rPr>
          <w:rFonts w:hint="default" w:ascii="Times New Roman" w:hAnsi="Times New Roman" w:eastAsia="仿宋_GB2312" w:cs="Times New Roman"/>
          <w:i w:val="0"/>
          <w:caps w:val="0"/>
          <w:spacing w:val="0"/>
          <w:kern w:val="2"/>
          <w:sz w:val="32"/>
          <w:szCs w:val="32"/>
          <w:shd w:val="clear" w:color="auto" w:fill="auto"/>
          <w:lang w:eastAsia="zh-CN" w:bidi="ar-SA"/>
        </w:rPr>
        <w:t>管理办法</w:t>
      </w:r>
      <w:r>
        <w:rPr>
          <w:rFonts w:hint="default" w:ascii="Times New Roman" w:hAnsi="Times New Roman" w:eastAsia="仿宋_GB2312" w:cs="Times New Roman"/>
          <w:i w:val="0"/>
          <w:caps w:val="0"/>
          <w:spacing w:val="0"/>
          <w:kern w:val="2"/>
          <w:sz w:val="32"/>
          <w:szCs w:val="32"/>
          <w:shd w:val="clear" w:color="auto" w:fill="auto"/>
          <w:lang w:bidi="ar-SA"/>
        </w:rPr>
        <w:t>（试行）</w:t>
      </w:r>
      <w:r>
        <w:rPr>
          <w:rFonts w:hint="default" w:ascii="Times New Roman" w:hAnsi="Times New Roman" w:eastAsia="仿宋_GB2312" w:cs="Times New Roman"/>
          <w:b w:val="0"/>
          <w:bCs w:val="0"/>
          <w:sz w:val="32"/>
          <w:szCs w:val="32"/>
          <w:lang w:val="en-US" w:eastAsia="zh-CN"/>
        </w:rPr>
        <w:t>》《自治区级夜间消费集聚区评价指标（2024修订）》</w:t>
      </w: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夜间消费集聚区试点培育</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lang w:val="en-US" w:eastAsia="zh-CN"/>
        </w:rPr>
        <w:t>2024—2026年近三至四年左右每年的工作目标、</w:t>
      </w:r>
      <w:r>
        <w:rPr>
          <w:rFonts w:hint="default" w:ascii="Times New Roman" w:hAnsi="Times New Roman" w:eastAsia="仿宋_GB2312" w:cs="Times New Roman"/>
          <w:sz w:val="32"/>
          <w:szCs w:val="32"/>
        </w:rPr>
        <w:t>主要任务</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w:t>
      </w:r>
    </w:p>
    <w:p w14:paraId="78063306">
      <w:pPr>
        <w:widowControl w:val="0"/>
        <w:wordWrap/>
        <w:adjustRightInd/>
        <w:snapToGrid/>
        <w:spacing w:before="0" w:after="0" w:line="600" w:lineRule="exact"/>
        <w:ind w:left="0" w:leftChars="0" w:right="0" w:firstLine="640" w:firstLineChars="200"/>
        <w:textAlignment w:val="auto"/>
        <w:outlineLvl w:val="9"/>
        <w:rPr>
          <w:rFonts w:hint="default" w:ascii="Times New Roman" w:hAnsi="Times New Roman" w:eastAsia="仿宋_GB2312" w:cs="Times New Roman"/>
          <w:sz w:val="32"/>
          <w:szCs w:val="32"/>
        </w:rPr>
      </w:pPr>
    </w:p>
    <w:p w14:paraId="2C5C9F85">
      <w:pPr>
        <w:widowControl w:val="0"/>
        <w:wordWrap/>
        <w:adjustRightInd/>
        <w:snapToGrid/>
        <w:spacing w:before="0" w:after="0" w:line="600" w:lineRule="exact"/>
        <w:ind w:left="0" w:leftChars="0" w:right="0"/>
        <w:jc w:val="center"/>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 xml:space="preserve">第一部分  </w:t>
      </w:r>
      <w:r>
        <w:rPr>
          <w:rFonts w:hint="default" w:ascii="Times New Roman" w:hAnsi="Times New Roman" w:eastAsia="黑体" w:cs="Times New Roman"/>
          <w:sz w:val="32"/>
          <w:szCs w:val="32"/>
          <w:lang w:eastAsia="zh-CN"/>
        </w:rPr>
        <w:t>发展现状</w:t>
      </w:r>
    </w:p>
    <w:p w14:paraId="409F7DFE">
      <w:pPr>
        <w:widowControl w:val="0"/>
        <w:wordWrap/>
        <w:adjustRightInd/>
        <w:snapToGrid/>
        <w:spacing w:before="0" w:after="0" w:line="600" w:lineRule="exact"/>
        <w:ind w:left="0" w:leftChars="0" w:right="0" w:firstLine="643" w:firstLineChars="200"/>
        <w:textAlignment w:val="auto"/>
        <w:outlineLvl w:val="9"/>
        <w:rPr>
          <w:rFonts w:hint="default" w:ascii="Times New Roman" w:hAnsi="Times New Roman" w:eastAsia="楷体_GB2312" w:cs="Times New Roman"/>
          <w:b/>
          <w:sz w:val="32"/>
          <w:szCs w:val="32"/>
        </w:rPr>
      </w:pPr>
    </w:p>
    <w:p w14:paraId="3E52846E">
      <w:pPr>
        <w:widowControl w:val="0"/>
        <w:wordWrap/>
        <w:adjustRightInd/>
        <w:snapToGrid/>
        <w:spacing w:before="0" w:after="0" w:line="600" w:lineRule="exact"/>
        <w:ind w:left="0" w:leftChars="0" w:right="0" w:firstLine="640" w:firstLineChars="200"/>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黑体" w:cs="Times New Roman"/>
          <w:b w:val="0"/>
          <w:bCs/>
          <w:sz w:val="32"/>
          <w:szCs w:val="32"/>
          <w:lang w:eastAsia="zh-CN"/>
        </w:rPr>
        <w:t>一</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集聚区</w:t>
      </w:r>
      <w:r>
        <w:rPr>
          <w:rFonts w:hint="default" w:ascii="Times New Roman" w:hAnsi="Times New Roman" w:eastAsia="黑体" w:cs="Times New Roman"/>
          <w:b w:val="0"/>
          <w:bCs/>
          <w:sz w:val="32"/>
          <w:szCs w:val="32"/>
        </w:rPr>
        <w:t>现状及基础条件。</w:t>
      </w:r>
      <w:r>
        <w:rPr>
          <w:rFonts w:hint="default" w:ascii="Times New Roman" w:hAnsi="Times New Roman" w:eastAsia="仿宋_GB2312" w:cs="Times New Roman"/>
          <w:sz w:val="32"/>
          <w:szCs w:val="32"/>
        </w:rPr>
        <w:t>简要说明</w:t>
      </w:r>
      <w:r>
        <w:rPr>
          <w:rFonts w:hint="default" w:ascii="Times New Roman" w:hAnsi="Times New Roman" w:eastAsia="仿宋_GB2312" w:cs="Times New Roman"/>
          <w:sz w:val="32"/>
          <w:szCs w:val="32"/>
          <w:lang w:eastAsia="zh-CN"/>
        </w:rPr>
        <w:t>夜间消费集聚区</w:t>
      </w:r>
      <w:r>
        <w:rPr>
          <w:rFonts w:hint="default" w:ascii="Times New Roman" w:hAnsi="Times New Roman" w:eastAsia="仿宋_GB2312" w:cs="Times New Roman"/>
          <w:sz w:val="32"/>
          <w:szCs w:val="32"/>
        </w:rPr>
        <w:t>发展历史，重点说明</w:t>
      </w:r>
      <w:r>
        <w:rPr>
          <w:rFonts w:hint="default" w:ascii="Times New Roman" w:hAnsi="Times New Roman" w:eastAsia="仿宋_GB2312" w:cs="Times New Roman"/>
          <w:sz w:val="32"/>
          <w:szCs w:val="32"/>
          <w:lang w:eastAsia="zh-CN"/>
        </w:rPr>
        <w:t>集聚区</w:t>
      </w:r>
      <w:r>
        <w:rPr>
          <w:rFonts w:hint="default" w:ascii="Times New Roman" w:hAnsi="Times New Roman" w:eastAsia="仿宋_GB2312" w:cs="Times New Roman"/>
          <w:sz w:val="32"/>
          <w:szCs w:val="32"/>
        </w:rPr>
        <w:t>发展定位、规划布局、经营面积</w:t>
      </w:r>
      <w:r>
        <w:rPr>
          <w:rFonts w:hint="default" w:ascii="Times New Roman" w:hAnsi="Times New Roman" w:eastAsia="仿宋_GB2312" w:cs="Times New Roman"/>
          <w:sz w:val="32"/>
          <w:szCs w:val="32"/>
          <w:lang w:eastAsia="zh-CN"/>
        </w:rPr>
        <w:t>、四至范围</w:t>
      </w:r>
      <w:r>
        <w:rPr>
          <w:rFonts w:hint="default" w:ascii="Times New Roman" w:hAnsi="Times New Roman" w:eastAsia="仿宋_GB2312" w:cs="Times New Roman"/>
          <w:sz w:val="32"/>
          <w:szCs w:val="32"/>
        </w:rPr>
        <w:t>、商业业态、交通规划、管理机构、入驻品牌企业、品牌商品和销售等情况，分析</w:t>
      </w:r>
      <w:r>
        <w:rPr>
          <w:rFonts w:hint="default" w:ascii="Times New Roman" w:hAnsi="Times New Roman" w:eastAsia="仿宋_GB2312" w:cs="Times New Roman"/>
          <w:sz w:val="32"/>
          <w:szCs w:val="32"/>
          <w:lang w:eastAsia="zh-CN"/>
        </w:rPr>
        <w:t>集聚区</w:t>
      </w:r>
      <w:r>
        <w:rPr>
          <w:rFonts w:hint="default" w:ascii="Times New Roman" w:hAnsi="Times New Roman" w:eastAsia="仿宋_GB2312" w:cs="Times New Roman"/>
          <w:sz w:val="32"/>
          <w:szCs w:val="32"/>
        </w:rPr>
        <w:t>发展优势和特色以及对当地消费的引领作用</w:t>
      </w:r>
      <w:r>
        <w:rPr>
          <w:rFonts w:hint="default" w:ascii="Times New Roman" w:hAnsi="Times New Roman" w:eastAsia="楷体_GB2312" w:cs="Times New Roman"/>
          <w:sz w:val="32"/>
          <w:szCs w:val="32"/>
        </w:rPr>
        <w:t>（附所在城市地图，突出显示</w:t>
      </w:r>
      <w:r>
        <w:rPr>
          <w:rFonts w:hint="default" w:ascii="Times New Roman" w:hAnsi="Times New Roman" w:eastAsia="楷体_GB2312" w:cs="Times New Roman"/>
          <w:sz w:val="32"/>
          <w:szCs w:val="32"/>
          <w:lang w:eastAsia="zh-CN"/>
        </w:rPr>
        <w:t>集聚区</w:t>
      </w:r>
      <w:r>
        <w:rPr>
          <w:rFonts w:hint="default" w:ascii="Times New Roman" w:hAnsi="Times New Roman" w:eastAsia="楷体_GB2312" w:cs="Times New Roman"/>
          <w:sz w:val="32"/>
          <w:szCs w:val="32"/>
        </w:rPr>
        <w:t>位置</w:t>
      </w:r>
      <w:r>
        <w:rPr>
          <w:rFonts w:hint="default" w:ascii="Times New Roman" w:hAnsi="Times New Roman" w:eastAsia="楷体_GB2312" w:cs="Times New Roman"/>
          <w:sz w:val="32"/>
          <w:szCs w:val="32"/>
          <w:lang w:eastAsia="zh-CN"/>
        </w:rPr>
        <w:t>，及集聚区</w:t>
      </w:r>
      <w:r>
        <w:rPr>
          <w:rFonts w:hint="default" w:ascii="Times New Roman" w:hAnsi="Times New Roman" w:eastAsia="楷体_GB2312" w:cs="Times New Roman"/>
          <w:sz w:val="32"/>
          <w:szCs w:val="32"/>
        </w:rPr>
        <w:t>平面规划图或鸟瞰图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说明</w:t>
      </w:r>
      <w:r>
        <w:rPr>
          <w:rFonts w:hint="default" w:ascii="Times New Roman" w:hAnsi="Times New Roman" w:eastAsia="仿宋_GB2312" w:cs="Times New Roman"/>
          <w:sz w:val="32"/>
          <w:szCs w:val="32"/>
        </w:rPr>
        <w:t>近3年经营情况、客流来源及结构情况等</w:t>
      </w:r>
      <w:r>
        <w:rPr>
          <w:rFonts w:hint="default" w:ascii="Times New Roman" w:hAnsi="Times New Roman" w:eastAsia="楷体_GB2312" w:cs="Times New Roman"/>
          <w:sz w:val="32"/>
          <w:szCs w:val="32"/>
        </w:rPr>
        <w:t>（附图表）</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说明</w:t>
      </w:r>
      <w:r>
        <w:rPr>
          <w:rFonts w:hint="default" w:ascii="Times New Roman" w:hAnsi="Times New Roman" w:eastAsia="仿宋_GB2312" w:cs="Times New Roman"/>
          <w:sz w:val="32"/>
          <w:szCs w:val="32"/>
          <w:lang w:eastAsia="zh-CN"/>
        </w:rPr>
        <w:t>集聚</w:t>
      </w:r>
      <w:r>
        <w:rPr>
          <w:rFonts w:hint="default" w:ascii="Times New Roman" w:hAnsi="Times New Roman" w:eastAsia="仿宋_GB2312" w:cs="Times New Roman"/>
          <w:sz w:val="32"/>
          <w:szCs w:val="32"/>
        </w:rPr>
        <w:t>区发展优势、特色以及存在不足。</w:t>
      </w:r>
    </w:p>
    <w:p w14:paraId="450D494E">
      <w:pPr>
        <w:widowControl w:val="0"/>
        <w:wordWrap/>
        <w:adjustRightInd/>
        <w:snapToGrid/>
        <w:spacing w:before="0" w:after="0" w:line="60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lang w:eastAsia="zh-CN"/>
        </w:rPr>
        <w:t>二</w:t>
      </w:r>
      <w:r>
        <w:rPr>
          <w:rFonts w:hint="default" w:ascii="Times New Roman" w:hAnsi="Times New Roman" w:eastAsia="黑体" w:cs="Times New Roman"/>
          <w:b w:val="0"/>
          <w:bCs/>
          <w:sz w:val="32"/>
          <w:szCs w:val="32"/>
        </w:rPr>
        <w:t>、已采取的相关措施。</w:t>
      </w:r>
      <w:r>
        <w:rPr>
          <w:rFonts w:hint="default" w:ascii="Times New Roman" w:hAnsi="Times New Roman" w:eastAsia="仿宋_GB2312" w:cs="Times New Roman"/>
          <w:sz w:val="32"/>
          <w:szCs w:val="32"/>
        </w:rPr>
        <w:t>重点说明</w:t>
      </w:r>
      <w:r>
        <w:rPr>
          <w:rFonts w:hint="default" w:ascii="Times New Roman" w:hAnsi="Times New Roman" w:eastAsia="仿宋_GB2312" w:cs="Times New Roman"/>
          <w:sz w:val="32"/>
          <w:szCs w:val="32"/>
          <w:lang w:eastAsia="zh-CN"/>
        </w:rPr>
        <w:t>夜间消费集聚区</w:t>
      </w:r>
      <w:r>
        <w:rPr>
          <w:rFonts w:hint="default" w:ascii="Times New Roman" w:hAnsi="Times New Roman" w:eastAsia="仿宋_GB2312" w:cs="Times New Roman"/>
          <w:sz w:val="32"/>
          <w:szCs w:val="32"/>
        </w:rPr>
        <w:t>在规划布局发展、</w:t>
      </w:r>
      <w:r>
        <w:rPr>
          <w:rFonts w:hint="default" w:ascii="Times New Roman" w:hAnsi="Times New Roman" w:eastAsia="仿宋_GB2312" w:cs="Times New Roman"/>
          <w:sz w:val="32"/>
          <w:szCs w:val="32"/>
          <w:lang w:eastAsia="zh-CN"/>
        </w:rPr>
        <w:t>试点培育</w:t>
      </w:r>
      <w:r>
        <w:rPr>
          <w:rFonts w:hint="default" w:ascii="Times New Roman" w:hAnsi="Times New Roman" w:eastAsia="仿宋_GB2312" w:cs="Times New Roman"/>
          <w:sz w:val="32"/>
          <w:szCs w:val="32"/>
        </w:rPr>
        <w:t>提升、消费引领等方面已采取的措施和所取得的成效。</w:t>
      </w:r>
    </w:p>
    <w:p w14:paraId="322F6A77">
      <w:pPr>
        <w:widowControl w:val="0"/>
        <w:wordWrap/>
        <w:adjustRightInd/>
        <w:snapToGrid/>
        <w:spacing w:before="313" w:beforeLines="100" w:after="313" w:afterLines="100" w:line="600" w:lineRule="exact"/>
        <w:ind w:left="0" w:leftChars="0"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eastAsia="zh-CN"/>
        </w:rPr>
        <w:t>试点</w:t>
      </w:r>
      <w:r>
        <w:rPr>
          <w:rFonts w:hint="default" w:ascii="Times New Roman" w:hAnsi="Times New Roman" w:eastAsia="黑体" w:cs="Times New Roman"/>
          <w:sz w:val="32"/>
          <w:szCs w:val="32"/>
        </w:rPr>
        <w:t>工作目标</w:t>
      </w:r>
    </w:p>
    <w:p w14:paraId="411C427F">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一、总体定位。</w:t>
      </w:r>
      <w:r>
        <w:rPr>
          <w:rFonts w:hint="default" w:ascii="Times New Roman" w:hAnsi="Times New Roman" w:eastAsia="仿宋_GB2312" w:cs="Times New Roman"/>
          <w:sz w:val="32"/>
          <w:szCs w:val="32"/>
        </w:rPr>
        <w:t>结合城市发展定位，与城市总体规划相衔接，明确</w:t>
      </w:r>
      <w:r>
        <w:rPr>
          <w:rFonts w:hint="default" w:ascii="Times New Roman" w:hAnsi="Times New Roman" w:eastAsia="仿宋_GB2312" w:cs="Times New Roman"/>
          <w:sz w:val="32"/>
          <w:szCs w:val="32"/>
          <w:lang w:eastAsia="zh-CN"/>
        </w:rPr>
        <w:t>集聚</w:t>
      </w:r>
      <w:r>
        <w:rPr>
          <w:rFonts w:hint="default" w:ascii="Times New Roman" w:hAnsi="Times New Roman" w:eastAsia="仿宋_GB2312" w:cs="Times New Roman"/>
          <w:sz w:val="32"/>
          <w:szCs w:val="32"/>
        </w:rPr>
        <w:t>区总体定位和未来发展远景。</w:t>
      </w:r>
    </w:p>
    <w:p w14:paraId="16386112">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二、发展目标。</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培育</w:t>
      </w:r>
      <w:r>
        <w:rPr>
          <w:rFonts w:hint="default" w:ascii="Times New Roman" w:hAnsi="Times New Roman" w:eastAsia="仿宋_GB2312" w:cs="Times New Roman"/>
          <w:sz w:val="32"/>
          <w:szCs w:val="32"/>
        </w:rPr>
        <w:t>周期，明确分阶段目标，特别是20</w:t>
      </w:r>
      <w:r>
        <w:rPr>
          <w:rFonts w:hint="default"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年近</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 xml:space="preserve">年目标，明确标志性成果和时间节点。 </w:t>
      </w:r>
    </w:p>
    <w:p w14:paraId="6B18DE76">
      <w:pPr>
        <w:widowControl/>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b w:val="0"/>
          <w:bCs/>
          <w:sz w:val="32"/>
          <w:szCs w:val="32"/>
        </w:rPr>
        <w:t>三、预期成效。</w:t>
      </w:r>
      <w:r>
        <w:rPr>
          <w:rFonts w:hint="default" w:ascii="Times New Roman" w:hAnsi="Times New Roman" w:eastAsia="仿宋_GB2312" w:cs="Times New Roman"/>
          <w:sz w:val="32"/>
          <w:szCs w:val="32"/>
        </w:rPr>
        <w:t>从经济效益、社会效益两方面分析，经济效益包括客流量、营业额、品牌入驻</w:t>
      </w:r>
      <w:r>
        <w:rPr>
          <w:rFonts w:hint="default" w:ascii="Times New Roman" w:hAnsi="Times New Roman" w:eastAsia="仿宋_GB2312" w:cs="Times New Roman"/>
          <w:sz w:val="32"/>
          <w:szCs w:val="32"/>
          <w:lang w:eastAsia="zh-CN"/>
        </w:rPr>
        <w:t>、吸纳就业、商业空置率，以</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集聚区运营管理机构依规纳入规上服务业</w:t>
      </w:r>
      <w:r>
        <w:rPr>
          <w:rFonts w:hint="default" w:ascii="Times New Roman" w:hAnsi="Times New Roman" w:eastAsia="仿宋_GB2312" w:cs="Times New Roman"/>
          <w:sz w:val="32"/>
          <w:szCs w:val="32"/>
          <w:lang w:val="en-US" w:eastAsia="zh-CN"/>
        </w:rPr>
        <w:t>/限上批零住餐统计、发展集聚区限上企业</w:t>
      </w:r>
      <w:r>
        <w:rPr>
          <w:rFonts w:hint="default" w:ascii="Times New Roman" w:hAnsi="Times New Roman" w:eastAsia="仿宋_GB2312" w:cs="Times New Roman"/>
          <w:sz w:val="32"/>
          <w:szCs w:val="32"/>
        </w:rPr>
        <w:t>等情况；社会效益重点从</w:t>
      </w:r>
      <w:r>
        <w:rPr>
          <w:rFonts w:hint="default" w:ascii="Times New Roman" w:hAnsi="Times New Roman" w:eastAsia="仿宋_GB2312" w:cs="Times New Roman"/>
          <w:sz w:val="32"/>
          <w:szCs w:val="32"/>
          <w:lang w:eastAsia="zh-CN"/>
        </w:rPr>
        <w:t>集聚区</w:t>
      </w:r>
      <w:r>
        <w:rPr>
          <w:rFonts w:hint="default" w:ascii="Times New Roman" w:hAnsi="Times New Roman" w:eastAsia="仿宋_GB2312" w:cs="Times New Roman"/>
          <w:sz w:val="32"/>
          <w:szCs w:val="32"/>
        </w:rPr>
        <w:t>知名度、消费者满意度、经营者满意度等方面说明。</w:t>
      </w:r>
    </w:p>
    <w:p w14:paraId="5A2E7742">
      <w:pPr>
        <w:widowControl w:val="0"/>
        <w:wordWrap/>
        <w:adjustRightInd/>
        <w:snapToGrid/>
        <w:spacing w:before="313" w:beforeLines="100" w:after="313" w:afterLines="100" w:line="600" w:lineRule="exact"/>
        <w:ind w:left="0" w:leftChars="0"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eastAsia="zh-CN"/>
        </w:rPr>
        <w:t>试点</w:t>
      </w:r>
      <w:r>
        <w:rPr>
          <w:rFonts w:hint="default" w:ascii="Times New Roman" w:hAnsi="Times New Roman" w:eastAsia="黑体" w:cs="Times New Roman"/>
          <w:sz w:val="32"/>
          <w:szCs w:val="32"/>
        </w:rPr>
        <w:t>主要任务</w:t>
      </w:r>
    </w:p>
    <w:p w14:paraId="6AC1ECD6">
      <w:pPr>
        <w:widowControl w:val="0"/>
        <w:wordWrap/>
        <w:adjustRightInd/>
        <w:snapToGrid/>
        <w:spacing w:before="0" w:after="0" w:line="60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按照目标导向、问题导向和项目导向相结合的原则，根据</w:t>
      </w:r>
      <w:r>
        <w:rPr>
          <w:rFonts w:hint="default" w:ascii="Times New Roman" w:hAnsi="Times New Roman" w:eastAsia="仿宋_GB2312" w:cs="Times New Roman"/>
          <w:sz w:val="32"/>
          <w:szCs w:val="32"/>
          <w:lang w:eastAsia="zh-CN"/>
        </w:rPr>
        <w:t>夜间消费集聚区</w:t>
      </w:r>
      <w:r>
        <w:rPr>
          <w:rFonts w:hint="default" w:ascii="Times New Roman" w:hAnsi="Times New Roman" w:eastAsia="仿宋_GB2312" w:cs="Times New Roman"/>
          <w:sz w:val="32"/>
          <w:szCs w:val="32"/>
        </w:rPr>
        <w:t>总体定位和发展目标，重点围绕以下方面，提出</w:t>
      </w:r>
      <w:r>
        <w:rPr>
          <w:rFonts w:hint="default" w:ascii="Times New Roman" w:hAnsi="Times New Roman" w:eastAsia="仿宋_GB2312" w:cs="Times New Roman"/>
          <w:sz w:val="32"/>
          <w:szCs w:val="32"/>
          <w:lang w:eastAsia="zh-CN"/>
        </w:rPr>
        <w:t>试点</w:t>
      </w:r>
      <w:r>
        <w:rPr>
          <w:rFonts w:hint="default" w:ascii="Times New Roman" w:hAnsi="Times New Roman" w:eastAsia="仿宋_GB2312" w:cs="Times New Roman"/>
          <w:sz w:val="32"/>
          <w:szCs w:val="32"/>
        </w:rPr>
        <w:t>的主要任务</w:t>
      </w:r>
      <w:r>
        <w:rPr>
          <w:rFonts w:hint="default" w:ascii="Times New Roman" w:hAnsi="Times New Roman" w:eastAsia="楷体_GB2312" w:cs="Times New Roman"/>
          <w:sz w:val="32"/>
          <w:szCs w:val="32"/>
        </w:rPr>
        <w:t>（结构可根据</w:t>
      </w:r>
      <w:r>
        <w:rPr>
          <w:rFonts w:hint="default" w:ascii="Times New Roman" w:hAnsi="Times New Roman" w:eastAsia="楷体_GB2312" w:cs="Times New Roman"/>
          <w:sz w:val="32"/>
          <w:szCs w:val="32"/>
          <w:lang w:eastAsia="zh-CN"/>
        </w:rPr>
        <w:t>集聚</w:t>
      </w:r>
      <w:r>
        <w:rPr>
          <w:rFonts w:hint="default" w:ascii="Times New Roman" w:hAnsi="Times New Roman" w:eastAsia="楷体_GB2312" w:cs="Times New Roman"/>
          <w:sz w:val="32"/>
          <w:szCs w:val="32"/>
        </w:rPr>
        <w:t>区实际进行调整，要求条理清晰）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w:t>
      </w:r>
      <w:r>
        <w:rPr>
          <w:rFonts w:hint="default" w:ascii="Times New Roman" w:hAnsi="Times New Roman" w:eastAsia="仿宋_GB2312" w:cs="Times New Roman"/>
          <w:sz w:val="32"/>
          <w:szCs w:val="32"/>
          <w:lang w:eastAsia="zh-CN"/>
        </w:rPr>
        <w:t>集聚区试点阶段</w:t>
      </w:r>
      <w:r>
        <w:rPr>
          <w:rFonts w:hint="default" w:ascii="Times New Roman" w:hAnsi="Times New Roman" w:eastAsia="仿宋_GB2312" w:cs="Times New Roman"/>
          <w:sz w:val="32"/>
          <w:szCs w:val="32"/>
        </w:rPr>
        <w:t>的任务安排，对照《</w:t>
      </w:r>
      <w:r>
        <w:rPr>
          <w:rFonts w:hint="default" w:ascii="Times New Roman" w:hAnsi="Times New Roman" w:eastAsia="仿宋_GB2312" w:cs="Times New Roman"/>
          <w:i w:val="0"/>
          <w:caps w:val="0"/>
          <w:spacing w:val="0"/>
          <w:kern w:val="2"/>
          <w:sz w:val="32"/>
          <w:szCs w:val="32"/>
          <w:shd w:val="clear" w:color="auto" w:fill="auto"/>
          <w:lang w:bidi="ar-SA"/>
        </w:rPr>
        <w:t>自治区</w:t>
      </w:r>
      <w:r>
        <w:rPr>
          <w:rFonts w:hint="default" w:ascii="Times New Roman" w:hAnsi="Times New Roman" w:eastAsia="仿宋_GB2312" w:cs="Times New Roman"/>
          <w:i w:val="0"/>
          <w:caps w:val="0"/>
          <w:spacing w:val="0"/>
          <w:kern w:val="2"/>
          <w:sz w:val="32"/>
          <w:szCs w:val="32"/>
          <w:shd w:val="clear" w:color="auto" w:fill="auto"/>
          <w:lang w:eastAsia="zh-CN" w:bidi="ar-SA"/>
        </w:rPr>
        <w:t>级</w:t>
      </w:r>
      <w:r>
        <w:rPr>
          <w:rFonts w:hint="default" w:ascii="Times New Roman" w:hAnsi="Times New Roman" w:eastAsia="仿宋_GB2312" w:cs="Times New Roman"/>
          <w:i w:val="0"/>
          <w:caps w:val="0"/>
          <w:spacing w:val="0"/>
          <w:kern w:val="2"/>
          <w:sz w:val="32"/>
          <w:szCs w:val="32"/>
          <w:shd w:val="clear" w:color="auto" w:fill="auto"/>
          <w:lang w:bidi="ar-SA"/>
        </w:rPr>
        <w:t>夜间消费集聚区</w:t>
      </w:r>
      <w:r>
        <w:rPr>
          <w:rFonts w:hint="default" w:ascii="Times New Roman" w:hAnsi="Times New Roman" w:eastAsia="仿宋_GB2312" w:cs="Times New Roman"/>
          <w:i w:val="0"/>
          <w:caps w:val="0"/>
          <w:spacing w:val="0"/>
          <w:kern w:val="2"/>
          <w:sz w:val="32"/>
          <w:szCs w:val="32"/>
          <w:shd w:val="clear" w:color="auto" w:fill="auto"/>
          <w:lang w:eastAsia="zh-CN" w:bidi="ar-SA"/>
        </w:rPr>
        <w:t>管理办法</w:t>
      </w:r>
      <w:r>
        <w:rPr>
          <w:rFonts w:hint="default" w:ascii="Times New Roman" w:hAnsi="Times New Roman" w:eastAsia="仿宋_GB2312" w:cs="Times New Roman"/>
          <w:i w:val="0"/>
          <w:caps w:val="0"/>
          <w:spacing w:val="0"/>
          <w:kern w:val="2"/>
          <w:sz w:val="32"/>
          <w:szCs w:val="32"/>
          <w:shd w:val="clear" w:color="auto" w:fill="auto"/>
          <w:lang w:bidi="ar-SA"/>
        </w:rPr>
        <w:t>（试行）</w:t>
      </w:r>
      <w:r>
        <w:rPr>
          <w:rFonts w:hint="default" w:ascii="Times New Roman" w:hAnsi="Times New Roman" w:eastAsia="仿宋_GB2312" w:cs="Times New Roman"/>
          <w:b w:val="0"/>
          <w:bCs w:val="0"/>
          <w:sz w:val="32"/>
          <w:szCs w:val="32"/>
          <w:lang w:val="en-US" w:eastAsia="zh-CN"/>
        </w:rPr>
        <w:t>》《自治区级夜间消费集聚区评价指标（2024修订）》，</w:t>
      </w:r>
      <w:r>
        <w:rPr>
          <w:rFonts w:hint="default" w:ascii="Times New Roman" w:hAnsi="Times New Roman" w:eastAsia="仿宋_GB2312" w:cs="Times New Roman"/>
          <w:sz w:val="32"/>
          <w:szCs w:val="32"/>
        </w:rPr>
        <w:t>说明在加强规划引领、优化</w:t>
      </w:r>
      <w:r>
        <w:rPr>
          <w:rFonts w:hint="default" w:ascii="Times New Roman" w:hAnsi="Times New Roman" w:eastAsia="仿宋_GB2312" w:cs="Times New Roman"/>
          <w:sz w:val="32"/>
          <w:szCs w:val="32"/>
          <w:lang w:eastAsia="zh-CN"/>
        </w:rPr>
        <w:t>集聚区</w:t>
      </w:r>
      <w:r>
        <w:rPr>
          <w:rFonts w:hint="default" w:ascii="Times New Roman" w:hAnsi="Times New Roman" w:eastAsia="仿宋_GB2312" w:cs="Times New Roman"/>
          <w:sz w:val="32"/>
          <w:szCs w:val="32"/>
        </w:rPr>
        <w:t>环境、提高供给质量、彰显城市特色、发挥带动作用等方面将采取的措施。</w:t>
      </w:r>
      <w:r>
        <w:rPr>
          <w:rFonts w:hint="default" w:ascii="Times New Roman" w:hAnsi="Times New Roman" w:eastAsia="楷体_GB2312" w:cs="Times New Roman"/>
          <w:sz w:val="32"/>
          <w:szCs w:val="32"/>
        </w:rPr>
        <w:t>（可附图表）</w:t>
      </w:r>
    </w:p>
    <w:p w14:paraId="0D37EE27">
      <w:pPr>
        <w:widowControl w:val="0"/>
        <w:wordWrap/>
        <w:adjustRightInd/>
        <w:snapToGrid/>
        <w:spacing w:before="0" w:after="0" w:line="600" w:lineRule="exact"/>
        <w:ind w:left="0" w:leftChars="0" w:right="0" w:firstLine="627" w:firstLineChars="196"/>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一、</w:t>
      </w:r>
      <w:r>
        <w:rPr>
          <w:rFonts w:hint="default" w:ascii="Times New Roman" w:hAnsi="Times New Roman" w:eastAsia="黑体" w:cs="Times New Roman"/>
          <w:b w:val="0"/>
          <w:bCs/>
          <w:sz w:val="32"/>
          <w:szCs w:val="32"/>
          <w:lang w:eastAsia="zh-CN"/>
        </w:rPr>
        <w:t>基础设施</w:t>
      </w:r>
      <w:r>
        <w:rPr>
          <w:rFonts w:hint="default" w:ascii="Times New Roman" w:hAnsi="Times New Roman" w:eastAsia="黑体" w:cs="Times New Roman"/>
          <w:b w:val="0"/>
          <w:bCs/>
          <w:sz w:val="32"/>
          <w:szCs w:val="32"/>
        </w:rPr>
        <w:t>。</w:t>
      </w:r>
      <w:r>
        <w:rPr>
          <w:rFonts w:hint="default" w:ascii="Times New Roman" w:hAnsi="Times New Roman" w:eastAsia="仿宋_GB2312" w:cs="Times New Roman"/>
          <w:sz w:val="32"/>
          <w:szCs w:val="32"/>
          <w:lang w:eastAsia="zh-CN"/>
        </w:rPr>
        <w:t>从科学规划、空间开阔、交通便利、环境优美等方面阐述将采取的措施。</w:t>
      </w:r>
    </w:p>
    <w:p w14:paraId="3ABC49E3">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二、</w:t>
      </w:r>
      <w:r>
        <w:rPr>
          <w:rFonts w:hint="default" w:ascii="Times New Roman" w:hAnsi="Times New Roman" w:eastAsia="黑体" w:cs="Times New Roman"/>
          <w:b w:val="0"/>
          <w:bCs/>
          <w:sz w:val="32"/>
          <w:szCs w:val="32"/>
          <w:lang w:eastAsia="zh-CN"/>
        </w:rPr>
        <w:t>公共服务</w:t>
      </w:r>
      <w:r>
        <w:rPr>
          <w:rFonts w:hint="default" w:ascii="Times New Roman" w:hAnsi="Times New Roman" w:eastAsia="黑体" w:cs="Times New Roman"/>
          <w:b w:val="0"/>
          <w:bCs/>
          <w:sz w:val="32"/>
          <w:szCs w:val="32"/>
        </w:rPr>
        <w:t>。</w:t>
      </w:r>
      <w:r>
        <w:rPr>
          <w:rFonts w:hint="default" w:ascii="Times New Roman" w:hAnsi="Times New Roman" w:eastAsia="仿宋_GB2312" w:cs="Times New Roman"/>
          <w:sz w:val="32"/>
          <w:szCs w:val="32"/>
          <w:lang w:eastAsia="zh-CN"/>
        </w:rPr>
        <w:t>从加强管理机制、公共设施、智慧服务等方面阐述将采取的措施。</w:t>
      </w:r>
    </w:p>
    <w:p w14:paraId="5C0521F4">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三、</w:t>
      </w:r>
      <w:r>
        <w:rPr>
          <w:rFonts w:hint="default" w:ascii="Times New Roman" w:hAnsi="Times New Roman" w:eastAsia="黑体" w:cs="Times New Roman"/>
          <w:b w:val="0"/>
          <w:bCs/>
          <w:sz w:val="32"/>
          <w:szCs w:val="32"/>
          <w:lang w:eastAsia="zh-CN"/>
        </w:rPr>
        <w:t>功能</w:t>
      </w:r>
      <w:r>
        <w:rPr>
          <w:rFonts w:hint="default" w:ascii="Times New Roman" w:hAnsi="Times New Roman" w:eastAsia="黑体" w:cs="Times New Roman"/>
          <w:b w:val="0"/>
          <w:bCs/>
          <w:sz w:val="32"/>
          <w:szCs w:val="32"/>
        </w:rPr>
        <w:t>品质。</w:t>
      </w:r>
      <w:r>
        <w:rPr>
          <w:rFonts w:hint="default" w:ascii="Times New Roman" w:hAnsi="Times New Roman" w:eastAsia="仿宋_GB2312" w:cs="Times New Roman"/>
          <w:sz w:val="32"/>
          <w:szCs w:val="32"/>
          <w:lang w:eastAsia="zh-CN"/>
        </w:rPr>
        <w:t>从业态集聚、活动丰富、绿色经营等方面阐述将采取的措施。</w:t>
      </w:r>
    </w:p>
    <w:p w14:paraId="3778855E">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四、</w:t>
      </w:r>
      <w:r>
        <w:rPr>
          <w:rFonts w:hint="default" w:ascii="Times New Roman" w:hAnsi="Times New Roman" w:eastAsia="黑体" w:cs="Times New Roman"/>
          <w:b w:val="0"/>
          <w:bCs/>
          <w:sz w:val="32"/>
          <w:szCs w:val="32"/>
          <w:lang w:eastAsia="zh-CN"/>
        </w:rPr>
        <w:t>综合效益</w:t>
      </w:r>
      <w:r>
        <w:rPr>
          <w:rFonts w:hint="default" w:ascii="Times New Roman" w:hAnsi="Times New Roman" w:eastAsia="黑体" w:cs="Times New Roman"/>
          <w:b w:val="0"/>
          <w:bCs/>
          <w:sz w:val="32"/>
          <w:szCs w:val="32"/>
        </w:rPr>
        <w:t>。</w:t>
      </w:r>
      <w:r>
        <w:rPr>
          <w:rFonts w:hint="default" w:ascii="Times New Roman" w:hAnsi="Times New Roman" w:eastAsia="仿宋_GB2312" w:cs="Times New Roman"/>
          <w:sz w:val="32"/>
          <w:szCs w:val="32"/>
          <w:lang w:eastAsia="zh-CN"/>
        </w:rPr>
        <w:t>从年营业额、年客流量、吸纳就业、商业空置率、平效，及集聚区运营管理机构依规纳入规上服务业</w:t>
      </w:r>
      <w:r>
        <w:rPr>
          <w:rFonts w:hint="default" w:ascii="Times New Roman" w:hAnsi="Times New Roman" w:eastAsia="仿宋_GB2312" w:cs="Times New Roman"/>
          <w:sz w:val="32"/>
          <w:szCs w:val="32"/>
          <w:lang w:val="en-US" w:eastAsia="zh-CN"/>
        </w:rPr>
        <w:t>/限上批零住餐统计、发展集聚区限上企业</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方面阐述将采取的措施。</w:t>
      </w:r>
    </w:p>
    <w:p w14:paraId="61342E28">
      <w:pPr>
        <w:widowControl w:val="0"/>
        <w:wordWrap/>
        <w:adjustRightInd/>
        <w:snapToGrid/>
        <w:spacing w:before="313" w:beforeLines="100" w:after="313" w:afterLines="100" w:line="600" w:lineRule="exact"/>
        <w:ind w:left="0" w:leftChars="0" w:right="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部分  任务清单</w:t>
      </w:r>
    </w:p>
    <w:p w14:paraId="7CC7A5B2">
      <w:pPr>
        <w:widowControl w:val="0"/>
        <w:wordWrap/>
        <w:adjustRightInd/>
        <w:snapToGrid/>
        <w:spacing w:before="0" w:after="0" w:line="60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以表格形式列明试点期间的重点工作任务，示例如下：</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078"/>
        <w:gridCol w:w="1081"/>
        <w:gridCol w:w="1081"/>
        <w:gridCol w:w="1081"/>
        <w:gridCol w:w="1081"/>
        <w:gridCol w:w="1084"/>
        <w:gridCol w:w="1116"/>
      </w:tblGrid>
      <w:tr w14:paraId="51D0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173A109A">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一、</w:t>
            </w:r>
            <w:r>
              <w:rPr>
                <w:rFonts w:hint="default" w:ascii="Times New Roman" w:hAnsi="Times New Roman" w:eastAsia="黑体" w:cs="Times New Roman"/>
                <w:b w:val="0"/>
                <w:bCs/>
                <w:sz w:val="32"/>
                <w:szCs w:val="32"/>
                <w:lang w:eastAsia="zh-CN"/>
              </w:rPr>
              <w:t>基础设施</w:t>
            </w:r>
          </w:p>
        </w:tc>
      </w:tr>
      <w:tr w14:paraId="3FEB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4A815E1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序号</w:t>
            </w:r>
          </w:p>
        </w:tc>
        <w:tc>
          <w:tcPr>
            <w:tcW w:w="632" w:type="pct"/>
            <w:noWrap w:val="0"/>
            <w:vAlign w:val="center"/>
          </w:tcPr>
          <w:p w14:paraId="543DB11B">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p w14:paraId="7074C1B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名称</w:t>
            </w:r>
          </w:p>
        </w:tc>
        <w:tc>
          <w:tcPr>
            <w:tcW w:w="634" w:type="pct"/>
            <w:noWrap w:val="0"/>
            <w:vAlign w:val="center"/>
          </w:tcPr>
          <w:p w14:paraId="54800AD9">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具体</w:t>
            </w:r>
          </w:p>
          <w:p w14:paraId="182F08E7">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内容</w:t>
            </w:r>
          </w:p>
        </w:tc>
        <w:tc>
          <w:tcPr>
            <w:tcW w:w="634" w:type="pct"/>
            <w:noWrap w:val="0"/>
            <w:vAlign w:val="center"/>
          </w:tcPr>
          <w:p w14:paraId="29F3E2CD">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w:t>
            </w:r>
          </w:p>
          <w:p w14:paraId="2905C2A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目标</w:t>
            </w:r>
          </w:p>
        </w:tc>
        <w:tc>
          <w:tcPr>
            <w:tcW w:w="634" w:type="pct"/>
            <w:noWrap w:val="0"/>
            <w:vAlign w:val="center"/>
          </w:tcPr>
          <w:p w14:paraId="0B5B2AA9">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启动</w:t>
            </w:r>
          </w:p>
          <w:p w14:paraId="003FAE0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4" w:type="pct"/>
            <w:noWrap w:val="0"/>
            <w:vAlign w:val="center"/>
          </w:tcPr>
          <w:p w14:paraId="6A730818">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w:t>
            </w:r>
          </w:p>
          <w:p w14:paraId="74D74F61">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5" w:type="pct"/>
            <w:noWrap w:val="0"/>
            <w:vAlign w:val="center"/>
          </w:tcPr>
          <w:p w14:paraId="19ED382C">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w:t>
            </w:r>
          </w:p>
          <w:p w14:paraId="38ED823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主体</w:t>
            </w:r>
          </w:p>
        </w:tc>
        <w:tc>
          <w:tcPr>
            <w:tcW w:w="650" w:type="pct"/>
            <w:noWrap w:val="0"/>
            <w:vAlign w:val="center"/>
          </w:tcPr>
          <w:p w14:paraId="4F69F571">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进展</w:t>
            </w:r>
          </w:p>
          <w:p w14:paraId="14A011D5">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情况</w:t>
            </w:r>
          </w:p>
        </w:tc>
      </w:tr>
      <w:tr w14:paraId="3CB1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4A6D5D42">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1</w:t>
            </w:r>
          </w:p>
        </w:tc>
        <w:tc>
          <w:tcPr>
            <w:tcW w:w="632" w:type="pct"/>
            <w:noWrap w:val="0"/>
            <w:vAlign w:val="center"/>
          </w:tcPr>
          <w:p w14:paraId="255BA32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18FDFEE">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C0D6EBB">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9805D1B">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088DB53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41259C7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676B96D4">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r>
      <w:tr w14:paraId="7622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59CCFB81">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2</w:t>
            </w:r>
          </w:p>
        </w:tc>
        <w:tc>
          <w:tcPr>
            <w:tcW w:w="632" w:type="pct"/>
            <w:noWrap w:val="0"/>
            <w:vAlign w:val="center"/>
          </w:tcPr>
          <w:p w14:paraId="2971A5C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90498BB">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4B7162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43841756">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B745A39">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7C922D7F">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0BDA6B31">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r>
      <w:tr w14:paraId="38D6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3053FD0F">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w:t>
            </w:r>
          </w:p>
        </w:tc>
        <w:tc>
          <w:tcPr>
            <w:tcW w:w="632" w:type="pct"/>
            <w:noWrap w:val="0"/>
            <w:vAlign w:val="center"/>
          </w:tcPr>
          <w:p w14:paraId="6284539A">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726D65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2E59D6E">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23788C3">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25C4C9AD">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3418119C">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70C7D7B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r>
      <w:tr w14:paraId="0D89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B3A6217">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b w:val="0"/>
                <w:bCs/>
                <w:sz w:val="32"/>
                <w:szCs w:val="32"/>
                <w:lang w:eastAsia="zh-CN"/>
              </w:rPr>
              <w:t>二、公共服务</w:t>
            </w:r>
          </w:p>
        </w:tc>
      </w:tr>
      <w:tr w14:paraId="078F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1661CC5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序号</w:t>
            </w:r>
          </w:p>
        </w:tc>
        <w:tc>
          <w:tcPr>
            <w:tcW w:w="632" w:type="pct"/>
            <w:noWrap w:val="0"/>
            <w:vAlign w:val="center"/>
          </w:tcPr>
          <w:p w14:paraId="5104FA08">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任务</w:t>
            </w:r>
          </w:p>
          <w:p w14:paraId="0D7089C8">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lang w:val="en"/>
              </w:rPr>
            </w:pPr>
            <w:r>
              <w:rPr>
                <w:rFonts w:hint="default" w:ascii="Times New Roman" w:hAnsi="Times New Roman" w:eastAsia="黑体" w:cs="Times New Roman"/>
                <w:sz w:val="28"/>
                <w:szCs w:val="28"/>
                <w:lang w:val="en" w:eastAsia="zh-CN"/>
              </w:rPr>
              <w:t>名称</w:t>
            </w:r>
          </w:p>
        </w:tc>
        <w:tc>
          <w:tcPr>
            <w:tcW w:w="634" w:type="pct"/>
            <w:noWrap w:val="0"/>
            <w:vAlign w:val="center"/>
          </w:tcPr>
          <w:p w14:paraId="156FC636">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具体</w:t>
            </w:r>
          </w:p>
          <w:p w14:paraId="3FC1C8E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内容</w:t>
            </w:r>
          </w:p>
        </w:tc>
        <w:tc>
          <w:tcPr>
            <w:tcW w:w="634" w:type="pct"/>
            <w:noWrap w:val="0"/>
            <w:vAlign w:val="center"/>
          </w:tcPr>
          <w:p w14:paraId="16B8CC51">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w:t>
            </w:r>
          </w:p>
          <w:p w14:paraId="7BC6C2CF">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目标</w:t>
            </w:r>
          </w:p>
        </w:tc>
        <w:tc>
          <w:tcPr>
            <w:tcW w:w="634" w:type="pct"/>
            <w:noWrap w:val="0"/>
            <w:vAlign w:val="center"/>
          </w:tcPr>
          <w:p w14:paraId="6A7B25C8">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启动</w:t>
            </w:r>
          </w:p>
          <w:p w14:paraId="22921210">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4" w:type="pct"/>
            <w:noWrap w:val="0"/>
            <w:vAlign w:val="center"/>
          </w:tcPr>
          <w:p w14:paraId="67BC62F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w:t>
            </w:r>
          </w:p>
          <w:p w14:paraId="243BDB61">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5" w:type="pct"/>
            <w:noWrap w:val="0"/>
            <w:vAlign w:val="center"/>
          </w:tcPr>
          <w:p w14:paraId="0A4522CE">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w:t>
            </w:r>
          </w:p>
          <w:p w14:paraId="5EBFA032">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主体</w:t>
            </w:r>
          </w:p>
        </w:tc>
        <w:tc>
          <w:tcPr>
            <w:tcW w:w="650" w:type="pct"/>
            <w:noWrap w:val="0"/>
            <w:vAlign w:val="center"/>
          </w:tcPr>
          <w:p w14:paraId="4A2DA8B3">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进展</w:t>
            </w:r>
          </w:p>
          <w:p w14:paraId="3121502A">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情况</w:t>
            </w:r>
          </w:p>
        </w:tc>
      </w:tr>
      <w:tr w14:paraId="766C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47F94370">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1</w:t>
            </w:r>
          </w:p>
        </w:tc>
        <w:tc>
          <w:tcPr>
            <w:tcW w:w="632" w:type="pct"/>
            <w:noWrap w:val="0"/>
            <w:vAlign w:val="center"/>
          </w:tcPr>
          <w:p w14:paraId="69FEDDC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5271E7D">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7ECDFDB3">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2A67781C">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0B50C04">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321FF093">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5FD91091">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r>
      <w:tr w14:paraId="595B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1108C17B">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2</w:t>
            </w:r>
          </w:p>
        </w:tc>
        <w:tc>
          <w:tcPr>
            <w:tcW w:w="632" w:type="pct"/>
            <w:noWrap w:val="0"/>
            <w:vAlign w:val="center"/>
          </w:tcPr>
          <w:p w14:paraId="0A209E8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03EBE3F">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7A09622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4CB07A6F">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0F57DF08">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601023C4">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1479275B">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r>
      <w:tr w14:paraId="1AEE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742857F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w:t>
            </w:r>
          </w:p>
        </w:tc>
        <w:tc>
          <w:tcPr>
            <w:tcW w:w="632" w:type="pct"/>
            <w:noWrap w:val="0"/>
            <w:vAlign w:val="center"/>
          </w:tcPr>
          <w:p w14:paraId="6E06E1C7">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DC5CD6A">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1BF2364">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24C6A21">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0F25C14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42AA6BF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4EAD98C7">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宋体" w:cs="Times New Roman"/>
                <w:szCs w:val="32"/>
              </w:rPr>
            </w:pPr>
          </w:p>
        </w:tc>
      </w:tr>
      <w:tr w14:paraId="6FF6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3C043D1C">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bCs/>
                <w:sz w:val="32"/>
                <w:szCs w:val="32"/>
              </w:rPr>
            </w:pPr>
            <w:r>
              <w:rPr>
                <w:rFonts w:hint="default" w:ascii="Times New Roman" w:hAnsi="Times New Roman" w:eastAsia="黑体" w:cs="Times New Roman"/>
                <w:b w:val="0"/>
                <w:bCs/>
                <w:sz w:val="32"/>
                <w:szCs w:val="32"/>
                <w:lang w:eastAsia="zh-CN"/>
              </w:rPr>
              <w:t>三、功能品质</w:t>
            </w:r>
          </w:p>
        </w:tc>
      </w:tr>
      <w:tr w14:paraId="4799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79A4AEE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序号</w:t>
            </w:r>
          </w:p>
        </w:tc>
        <w:tc>
          <w:tcPr>
            <w:tcW w:w="632" w:type="pct"/>
            <w:noWrap w:val="0"/>
            <w:vAlign w:val="center"/>
          </w:tcPr>
          <w:p w14:paraId="26188090">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任务</w:t>
            </w:r>
          </w:p>
          <w:p w14:paraId="70906BE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lang w:val="en" w:eastAsia="zh-CN"/>
              </w:rPr>
              <w:t>名称</w:t>
            </w:r>
          </w:p>
        </w:tc>
        <w:tc>
          <w:tcPr>
            <w:tcW w:w="634" w:type="pct"/>
            <w:noWrap w:val="0"/>
            <w:vAlign w:val="center"/>
          </w:tcPr>
          <w:p w14:paraId="29F86F83">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具体</w:t>
            </w:r>
          </w:p>
          <w:p w14:paraId="48B7059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内容</w:t>
            </w:r>
          </w:p>
        </w:tc>
        <w:tc>
          <w:tcPr>
            <w:tcW w:w="634" w:type="pct"/>
            <w:noWrap w:val="0"/>
            <w:vAlign w:val="center"/>
          </w:tcPr>
          <w:p w14:paraId="01A5C9D0">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w:t>
            </w:r>
          </w:p>
          <w:p w14:paraId="1E466CCC">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目标</w:t>
            </w:r>
          </w:p>
        </w:tc>
        <w:tc>
          <w:tcPr>
            <w:tcW w:w="634" w:type="pct"/>
            <w:noWrap w:val="0"/>
            <w:vAlign w:val="center"/>
          </w:tcPr>
          <w:p w14:paraId="2D7C1D79">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启动</w:t>
            </w:r>
          </w:p>
          <w:p w14:paraId="7F184469">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4" w:type="pct"/>
            <w:noWrap w:val="0"/>
            <w:vAlign w:val="center"/>
          </w:tcPr>
          <w:p w14:paraId="27EF3BD9">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w:t>
            </w:r>
          </w:p>
          <w:p w14:paraId="79F89562">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5" w:type="pct"/>
            <w:noWrap w:val="0"/>
            <w:vAlign w:val="center"/>
          </w:tcPr>
          <w:p w14:paraId="0B484543">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w:t>
            </w:r>
          </w:p>
          <w:p w14:paraId="4D2C914F">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主体</w:t>
            </w:r>
          </w:p>
        </w:tc>
        <w:tc>
          <w:tcPr>
            <w:tcW w:w="650" w:type="pct"/>
            <w:noWrap w:val="0"/>
            <w:vAlign w:val="center"/>
          </w:tcPr>
          <w:p w14:paraId="5E0D2AA6">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进展</w:t>
            </w:r>
          </w:p>
          <w:p w14:paraId="35D9753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情况</w:t>
            </w:r>
          </w:p>
        </w:tc>
      </w:tr>
      <w:tr w14:paraId="7F99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6CCA2CD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1</w:t>
            </w:r>
          </w:p>
        </w:tc>
        <w:tc>
          <w:tcPr>
            <w:tcW w:w="632" w:type="pct"/>
            <w:noWrap w:val="0"/>
            <w:vAlign w:val="center"/>
          </w:tcPr>
          <w:p w14:paraId="6F9BD8A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781E2D91">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78AE377B">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2CFCD988">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6CD264A">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4DCC3DA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67BB1A3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r>
      <w:tr w14:paraId="2DF0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62E7EB07">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2</w:t>
            </w:r>
          </w:p>
        </w:tc>
        <w:tc>
          <w:tcPr>
            <w:tcW w:w="632" w:type="pct"/>
            <w:noWrap w:val="0"/>
            <w:vAlign w:val="center"/>
          </w:tcPr>
          <w:p w14:paraId="66540B5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4285716E">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66EC7A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2D04450">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5A1E6302">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01B79847">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688325EE">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r>
      <w:tr w14:paraId="3C9D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623513D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w:t>
            </w:r>
          </w:p>
        </w:tc>
        <w:tc>
          <w:tcPr>
            <w:tcW w:w="632" w:type="pct"/>
            <w:noWrap w:val="0"/>
            <w:vAlign w:val="center"/>
          </w:tcPr>
          <w:p w14:paraId="144A1845">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DADEAD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C96E3EB">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20525AFA">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B08B88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2CF2F11C">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147D4EC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r>
      <w:tr w14:paraId="51DA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CB03262">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lang w:val="en"/>
              </w:rPr>
            </w:pPr>
            <w:r>
              <w:rPr>
                <w:rFonts w:hint="default" w:ascii="Times New Roman" w:hAnsi="Times New Roman" w:eastAsia="黑体" w:cs="Times New Roman"/>
                <w:b w:val="0"/>
                <w:bCs/>
                <w:sz w:val="32"/>
                <w:szCs w:val="32"/>
                <w:lang w:val="en" w:eastAsia="zh-CN"/>
              </w:rPr>
              <w:t>四、</w:t>
            </w:r>
            <w:r>
              <w:rPr>
                <w:rFonts w:hint="default" w:ascii="Times New Roman" w:hAnsi="Times New Roman" w:eastAsia="黑体" w:cs="Times New Roman"/>
                <w:b w:val="0"/>
                <w:bCs/>
                <w:sz w:val="32"/>
                <w:szCs w:val="32"/>
                <w:lang w:eastAsia="zh-CN"/>
              </w:rPr>
              <w:t>综合效益</w:t>
            </w:r>
          </w:p>
        </w:tc>
      </w:tr>
      <w:tr w14:paraId="3740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5DE2C048">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序号</w:t>
            </w:r>
          </w:p>
        </w:tc>
        <w:tc>
          <w:tcPr>
            <w:tcW w:w="632" w:type="pct"/>
            <w:noWrap w:val="0"/>
            <w:vAlign w:val="center"/>
          </w:tcPr>
          <w:p w14:paraId="4A342A1F">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eastAsia="zh-CN"/>
              </w:rPr>
              <w:t>任务</w:t>
            </w:r>
          </w:p>
          <w:p w14:paraId="45B30D6B">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lang w:val="en" w:eastAsia="zh-CN"/>
              </w:rPr>
              <w:t>名称</w:t>
            </w:r>
          </w:p>
        </w:tc>
        <w:tc>
          <w:tcPr>
            <w:tcW w:w="634" w:type="pct"/>
            <w:noWrap w:val="0"/>
            <w:vAlign w:val="center"/>
          </w:tcPr>
          <w:p w14:paraId="526C5E6F">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具体</w:t>
            </w:r>
          </w:p>
          <w:p w14:paraId="1AD95802">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内容</w:t>
            </w:r>
          </w:p>
        </w:tc>
        <w:tc>
          <w:tcPr>
            <w:tcW w:w="634" w:type="pct"/>
            <w:noWrap w:val="0"/>
            <w:vAlign w:val="center"/>
          </w:tcPr>
          <w:p w14:paraId="0C6E96B5">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预期</w:t>
            </w:r>
          </w:p>
          <w:p w14:paraId="4B647D2B">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目标</w:t>
            </w:r>
          </w:p>
        </w:tc>
        <w:tc>
          <w:tcPr>
            <w:tcW w:w="634" w:type="pct"/>
            <w:noWrap w:val="0"/>
            <w:vAlign w:val="center"/>
          </w:tcPr>
          <w:p w14:paraId="35FE0A24">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启动</w:t>
            </w:r>
          </w:p>
          <w:p w14:paraId="2183DF7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4" w:type="pct"/>
            <w:noWrap w:val="0"/>
            <w:vAlign w:val="center"/>
          </w:tcPr>
          <w:p w14:paraId="049E9DEE">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完成</w:t>
            </w:r>
          </w:p>
          <w:p w14:paraId="2F49DA7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时间</w:t>
            </w:r>
          </w:p>
        </w:tc>
        <w:tc>
          <w:tcPr>
            <w:tcW w:w="635" w:type="pct"/>
            <w:noWrap w:val="0"/>
            <w:vAlign w:val="center"/>
          </w:tcPr>
          <w:p w14:paraId="3D24AABA">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w:t>
            </w:r>
          </w:p>
          <w:p w14:paraId="1892F2C1">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主体</w:t>
            </w:r>
          </w:p>
        </w:tc>
        <w:tc>
          <w:tcPr>
            <w:tcW w:w="650" w:type="pct"/>
            <w:noWrap w:val="0"/>
            <w:vAlign w:val="center"/>
          </w:tcPr>
          <w:p w14:paraId="52E2D618">
            <w:pPr>
              <w:widowControl w:val="0"/>
              <w:wordWrap/>
              <w:adjustRightInd/>
              <w:snapToGrid/>
              <w:spacing w:before="0" w:after="0" w:line="560" w:lineRule="exact"/>
              <w:ind w:left="0" w:leftChars="0" w:right="0" w:firstLine="0" w:firstLineChars="0"/>
              <w:jc w:val="center"/>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进展</w:t>
            </w:r>
          </w:p>
          <w:p w14:paraId="4256ED22">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黑体" w:cs="Times New Roman"/>
                <w:sz w:val="28"/>
                <w:szCs w:val="28"/>
              </w:rPr>
              <w:t>情况</w:t>
            </w:r>
          </w:p>
        </w:tc>
      </w:tr>
      <w:tr w14:paraId="2ADF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2FA0FA70">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1</w:t>
            </w:r>
          </w:p>
        </w:tc>
        <w:tc>
          <w:tcPr>
            <w:tcW w:w="632" w:type="pct"/>
            <w:noWrap w:val="0"/>
            <w:vAlign w:val="center"/>
          </w:tcPr>
          <w:p w14:paraId="38E0F9EA">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1593E55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45A0132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6C67A0B5">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042B6AEF">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42001470">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0FFF691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r>
      <w:tr w14:paraId="2DF8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5FCDD718">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2</w:t>
            </w:r>
          </w:p>
        </w:tc>
        <w:tc>
          <w:tcPr>
            <w:tcW w:w="632" w:type="pct"/>
            <w:noWrap w:val="0"/>
            <w:vAlign w:val="center"/>
          </w:tcPr>
          <w:p w14:paraId="71C3CC9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3DD5C5A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7AACB767">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248017F5">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7372761D">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19EAB5A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32929D9E">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r>
      <w:tr w14:paraId="4C2D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3" w:type="pct"/>
            <w:noWrap w:val="0"/>
            <w:vAlign w:val="center"/>
          </w:tcPr>
          <w:p w14:paraId="1514E6F4">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r>
              <w:rPr>
                <w:rFonts w:hint="default" w:ascii="Times New Roman" w:hAnsi="Times New Roman" w:eastAsia="宋体" w:cs="Times New Roman"/>
                <w:szCs w:val="32"/>
              </w:rPr>
              <w:t>……</w:t>
            </w:r>
          </w:p>
        </w:tc>
        <w:tc>
          <w:tcPr>
            <w:tcW w:w="632" w:type="pct"/>
            <w:noWrap w:val="0"/>
            <w:vAlign w:val="center"/>
          </w:tcPr>
          <w:p w14:paraId="0115C209">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43A84506">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5C491631">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28A7BA1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4" w:type="pct"/>
            <w:noWrap w:val="0"/>
            <w:vAlign w:val="center"/>
          </w:tcPr>
          <w:p w14:paraId="0AAC73B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35" w:type="pct"/>
            <w:noWrap w:val="0"/>
            <w:vAlign w:val="center"/>
          </w:tcPr>
          <w:p w14:paraId="26E237FA">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c>
          <w:tcPr>
            <w:tcW w:w="650" w:type="pct"/>
            <w:noWrap w:val="0"/>
            <w:vAlign w:val="center"/>
          </w:tcPr>
          <w:p w14:paraId="716039F3">
            <w:pPr>
              <w:widowControl w:val="0"/>
              <w:wordWrap/>
              <w:adjustRightInd/>
              <w:snapToGrid/>
              <w:spacing w:before="0" w:after="0" w:line="560" w:lineRule="exact"/>
              <w:ind w:left="0" w:leftChars="0" w:right="0" w:rightChars="0" w:firstLine="0" w:firstLineChars="0"/>
              <w:jc w:val="center"/>
              <w:textAlignment w:val="auto"/>
              <w:outlineLvl w:val="9"/>
              <w:rPr>
                <w:rFonts w:hint="default" w:ascii="Times New Roman" w:hAnsi="Times New Roman" w:eastAsia="宋体" w:cs="Times New Roman"/>
                <w:szCs w:val="32"/>
              </w:rPr>
            </w:pPr>
          </w:p>
        </w:tc>
      </w:tr>
    </w:tbl>
    <w:p w14:paraId="7894598B">
      <w:pPr>
        <w:pStyle w:val="2"/>
        <w:rPr>
          <w:rFonts w:hint="default" w:ascii="Times New Roman" w:hAnsi="Times New Roman" w:eastAsia="仿宋_GB2312" w:cs="Times New Roman"/>
          <w:bCs/>
          <w:sz w:val="22"/>
          <w:szCs w:val="24"/>
        </w:rPr>
      </w:pPr>
    </w:p>
    <w:p w14:paraId="2F45AFB2">
      <w:pPr>
        <w:pStyle w:val="2"/>
        <w:rPr>
          <w:rFonts w:hint="default" w:ascii="Times New Roman" w:hAnsi="Times New Roman" w:eastAsia="仿宋_GB2312" w:cs="Times New Roman"/>
          <w:bCs/>
          <w:sz w:val="22"/>
          <w:szCs w:val="24"/>
        </w:rPr>
      </w:pPr>
    </w:p>
    <w:p w14:paraId="233233F2">
      <w:pPr>
        <w:pStyle w:val="2"/>
        <w:rPr>
          <w:rFonts w:hint="default" w:ascii="Times New Roman" w:hAnsi="Times New Roman" w:eastAsia="仿宋_GB2312" w:cs="Times New Roman"/>
          <w:bCs/>
          <w:sz w:val="22"/>
          <w:szCs w:val="24"/>
        </w:rPr>
      </w:pPr>
    </w:p>
    <w:p w14:paraId="1BF44CF5">
      <w:pPr>
        <w:pStyle w:val="2"/>
        <w:rPr>
          <w:rFonts w:hint="default" w:ascii="Times New Roman" w:hAnsi="Times New Roman" w:eastAsia="仿宋_GB2312" w:cs="Times New Roman"/>
          <w:bCs/>
          <w:sz w:val="22"/>
          <w:szCs w:val="24"/>
        </w:rPr>
      </w:pPr>
    </w:p>
    <w:p w14:paraId="57D9B5B4">
      <w:pPr>
        <w:pStyle w:val="2"/>
        <w:rPr>
          <w:rFonts w:hint="default" w:ascii="Times New Roman" w:hAnsi="Times New Roman" w:eastAsia="仿宋_GB2312" w:cs="Times New Roman"/>
          <w:bCs/>
          <w:sz w:val="22"/>
          <w:szCs w:val="24"/>
        </w:rPr>
      </w:pPr>
    </w:p>
    <w:p w14:paraId="720F6F29">
      <w:pPr>
        <w:pStyle w:val="2"/>
        <w:rPr>
          <w:rFonts w:hint="default" w:ascii="Times New Roman" w:hAnsi="Times New Roman" w:eastAsia="仿宋_GB2312" w:cs="Times New Roman"/>
          <w:bCs/>
          <w:sz w:val="22"/>
          <w:szCs w:val="24"/>
        </w:rPr>
      </w:pPr>
    </w:p>
    <w:p w14:paraId="2BE79982">
      <w:pPr>
        <w:pStyle w:val="2"/>
        <w:rPr>
          <w:rFonts w:hint="default" w:ascii="Times New Roman" w:hAnsi="Times New Roman" w:eastAsia="仿宋_GB2312" w:cs="Times New Roman"/>
          <w:bCs/>
          <w:sz w:val="22"/>
          <w:szCs w:val="24"/>
        </w:rPr>
      </w:pPr>
    </w:p>
    <w:p w14:paraId="67A0E9AF">
      <w:pPr>
        <w:pStyle w:val="2"/>
        <w:rPr>
          <w:rFonts w:hint="default" w:ascii="Times New Roman" w:hAnsi="Times New Roman" w:eastAsia="仿宋_GB2312" w:cs="Times New Roman"/>
          <w:bCs/>
          <w:sz w:val="22"/>
          <w:szCs w:val="24"/>
        </w:rPr>
      </w:pPr>
    </w:p>
    <w:p w14:paraId="643DC14C">
      <w:pPr>
        <w:pStyle w:val="2"/>
        <w:rPr>
          <w:rFonts w:hint="default" w:ascii="Times New Roman" w:hAnsi="Times New Roman" w:eastAsia="仿宋_GB2312" w:cs="Times New Roman"/>
          <w:bCs/>
          <w:sz w:val="22"/>
          <w:szCs w:val="24"/>
        </w:rPr>
      </w:pPr>
    </w:p>
    <w:p w14:paraId="058F1452">
      <w:pPr>
        <w:pStyle w:val="2"/>
        <w:rPr>
          <w:rFonts w:hint="default" w:ascii="Times New Roman" w:hAnsi="Times New Roman" w:eastAsia="仿宋_GB2312" w:cs="Times New Roman"/>
          <w:bCs/>
          <w:sz w:val="22"/>
          <w:szCs w:val="24"/>
        </w:rPr>
      </w:pPr>
    </w:p>
    <w:p w14:paraId="1D5F61F5">
      <w:pPr>
        <w:pStyle w:val="2"/>
        <w:rPr>
          <w:rFonts w:hint="default" w:ascii="Times New Roman" w:hAnsi="Times New Roman" w:eastAsia="仿宋_GB2312" w:cs="Times New Roman"/>
          <w:bCs/>
          <w:sz w:val="22"/>
          <w:szCs w:val="24"/>
        </w:rPr>
      </w:pPr>
    </w:p>
    <w:p w14:paraId="4C6294D5">
      <w:pPr>
        <w:pStyle w:val="2"/>
        <w:rPr>
          <w:rFonts w:hint="default" w:ascii="Times New Roman" w:hAnsi="Times New Roman" w:eastAsia="仿宋_GB2312" w:cs="Times New Roman"/>
          <w:bCs/>
          <w:sz w:val="22"/>
          <w:szCs w:val="24"/>
        </w:rPr>
      </w:pPr>
    </w:p>
    <w:p w14:paraId="71669F38">
      <w:pPr>
        <w:pStyle w:val="2"/>
        <w:rPr>
          <w:rFonts w:hint="default" w:ascii="Times New Roman" w:hAnsi="Times New Roman" w:eastAsia="仿宋_GB2312" w:cs="Times New Roman"/>
          <w:bCs/>
          <w:sz w:val="22"/>
          <w:szCs w:val="24"/>
        </w:rPr>
      </w:pPr>
    </w:p>
    <w:p w14:paraId="0BC7C516">
      <w:pPr>
        <w:pStyle w:val="2"/>
        <w:rPr>
          <w:rFonts w:hint="default" w:ascii="Times New Roman" w:hAnsi="Times New Roman" w:eastAsia="仿宋_GB2312" w:cs="Times New Roman"/>
          <w:bCs/>
          <w:sz w:val="22"/>
          <w:szCs w:val="24"/>
        </w:rPr>
      </w:pPr>
    </w:p>
    <w:p w14:paraId="21946465">
      <w:pPr>
        <w:pStyle w:val="2"/>
        <w:rPr>
          <w:rFonts w:hint="default" w:ascii="Times New Roman" w:hAnsi="Times New Roman" w:eastAsia="仿宋_GB2312" w:cs="Times New Roman"/>
          <w:bCs/>
          <w:sz w:val="22"/>
          <w:szCs w:val="24"/>
        </w:rPr>
      </w:pPr>
    </w:p>
    <w:p w14:paraId="36560C54">
      <w:pPr>
        <w:pStyle w:val="2"/>
        <w:rPr>
          <w:rFonts w:hint="default" w:ascii="Times New Roman" w:hAnsi="Times New Roman" w:eastAsia="仿宋_GB2312" w:cs="Times New Roman"/>
          <w:bCs/>
          <w:sz w:val="22"/>
          <w:szCs w:val="24"/>
        </w:rPr>
      </w:pPr>
    </w:p>
    <w:p w14:paraId="4A61DA60">
      <w:pPr>
        <w:pStyle w:val="2"/>
        <w:rPr>
          <w:rFonts w:hint="default" w:ascii="Times New Roman" w:hAnsi="Times New Roman" w:eastAsia="仿宋_GB2312" w:cs="Times New Roman"/>
          <w:bCs/>
          <w:sz w:val="22"/>
          <w:szCs w:val="24"/>
        </w:rPr>
      </w:pPr>
    </w:p>
    <w:p w14:paraId="5398437B">
      <w:pPr>
        <w:pStyle w:val="2"/>
        <w:rPr>
          <w:rFonts w:hint="default" w:ascii="Times New Roman" w:hAnsi="Times New Roman" w:eastAsia="仿宋_GB2312" w:cs="Times New Roman"/>
          <w:bCs/>
          <w:sz w:val="22"/>
          <w:szCs w:val="24"/>
        </w:rPr>
      </w:pPr>
    </w:p>
    <w:p w14:paraId="633DBC5B">
      <w:pPr>
        <w:pStyle w:val="2"/>
        <w:rPr>
          <w:rFonts w:hint="default" w:ascii="Times New Roman" w:hAnsi="Times New Roman" w:eastAsia="仿宋_GB2312" w:cs="Times New Roman"/>
          <w:bCs/>
          <w:sz w:val="22"/>
          <w:szCs w:val="24"/>
        </w:rPr>
      </w:pPr>
    </w:p>
    <w:p w14:paraId="4E1AE500">
      <w:pPr>
        <w:pStyle w:val="2"/>
        <w:rPr>
          <w:rFonts w:hint="default" w:ascii="Times New Roman" w:hAnsi="Times New Roman" w:eastAsia="仿宋_GB2312" w:cs="Times New Roman"/>
          <w:bCs/>
          <w:sz w:val="22"/>
          <w:szCs w:val="24"/>
        </w:rPr>
      </w:pPr>
    </w:p>
    <w:p w14:paraId="79FF4223">
      <w:pPr>
        <w:pStyle w:val="2"/>
        <w:rPr>
          <w:rFonts w:hint="default" w:ascii="Times New Roman" w:hAnsi="Times New Roman" w:eastAsia="仿宋_GB2312" w:cs="Times New Roman"/>
          <w:bCs/>
          <w:sz w:val="22"/>
          <w:szCs w:val="24"/>
        </w:rPr>
      </w:pPr>
    </w:p>
    <w:p w14:paraId="13D1A7FA">
      <w:pPr>
        <w:pStyle w:val="2"/>
        <w:rPr>
          <w:rFonts w:hint="default" w:ascii="Times New Roman" w:hAnsi="Times New Roman" w:eastAsia="仿宋_GB2312" w:cs="Times New Roman"/>
          <w:bCs/>
          <w:sz w:val="22"/>
          <w:szCs w:val="24"/>
        </w:rPr>
      </w:pPr>
    </w:p>
    <w:p w14:paraId="771E1BBD">
      <w:pPr>
        <w:pStyle w:val="2"/>
        <w:rPr>
          <w:rFonts w:hint="default" w:ascii="Times New Roman" w:hAnsi="Times New Roman" w:eastAsia="仿宋_GB2312" w:cs="Times New Roman"/>
          <w:bCs/>
          <w:sz w:val="22"/>
          <w:szCs w:val="24"/>
        </w:rPr>
      </w:pPr>
    </w:p>
    <w:p w14:paraId="02E7BBD7">
      <w:pPr>
        <w:pStyle w:val="2"/>
        <w:rPr>
          <w:rFonts w:hint="default" w:ascii="Times New Roman" w:hAnsi="Times New Roman" w:eastAsia="仿宋_GB2312" w:cs="Times New Roman"/>
          <w:bCs/>
          <w:sz w:val="22"/>
          <w:szCs w:val="24"/>
        </w:rPr>
      </w:pPr>
    </w:p>
    <w:p w14:paraId="5738E0E4">
      <w:pPr>
        <w:pStyle w:val="2"/>
        <w:rPr>
          <w:rFonts w:hint="default" w:ascii="Times New Roman" w:hAnsi="Times New Roman" w:eastAsia="仿宋_GB2312" w:cs="Times New Roman"/>
          <w:bCs/>
          <w:sz w:val="22"/>
          <w:szCs w:val="24"/>
        </w:rPr>
      </w:pPr>
    </w:p>
    <w:p w14:paraId="79AE90CA">
      <w:pPr>
        <w:pStyle w:val="2"/>
        <w:rPr>
          <w:rFonts w:hint="default" w:ascii="Times New Roman" w:hAnsi="Times New Roman" w:eastAsia="仿宋_GB2312" w:cs="Times New Roman"/>
          <w:bCs/>
          <w:sz w:val="22"/>
          <w:szCs w:val="24"/>
        </w:rPr>
      </w:pPr>
    </w:p>
    <w:p w14:paraId="0E8CEDC5">
      <w:pPr>
        <w:pStyle w:val="2"/>
        <w:rPr>
          <w:rFonts w:hint="default" w:ascii="Times New Roman" w:hAnsi="Times New Roman" w:eastAsia="仿宋_GB2312" w:cs="Times New Roman"/>
          <w:bCs/>
          <w:sz w:val="22"/>
          <w:szCs w:val="24"/>
        </w:rPr>
      </w:pPr>
    </w:p>
    <w:p w14:paraId="68EB9BA4">
      <w:pPr>
        <w:pStyle w:val="2"/>
        <w:rPr>
          <w:rFonts w:hint="default" w:ascii="Times New Roman" w:hAnsi="Times New Roman" w:eastAsia="仿宋_GB2312" w:cs="Times New Roman"/>
          <w:bCs/>
          <w:sz w:val="22"/>
          <w:szCs w:val="24"/>
        </w:rPr>
      </w:pPr>
    </w:p>
    <w:p w14:paraId="79803D41">
      <w:pPr>
        <w:pStyle w:val="2"/>
        <w:rPr>
          <w:rFonts w:hint="default" w:ascii="Times New Roman" w:hAnsi="Times New Roman" w:eastAsia="仿宋_GB2312" w:cs="Times New Roman"/>
          <w:bCs/>
          <w:sz w:val="22"/>
          <w:szCs w:val="24"/>
        </w:rPr>
      </w:pPr>
    </w:p>
    <w:p w14:paraId="6C759B2D">
      <w:pPr>
        <w:pStyle w:val="2"/>
        <w:rPr>
          <w:rFonts w:hint="default" w:ascii="Times New Roman" w:hAnsi="Times New Roman" w:eastAsia="仿宋_GB2312" w:cs="Times New Roman"/>
          <w:bCs/>
          <w:sz w:val="22"/>
          <w:szCs w:val="24"/>
        </w:rPr>
      </w:pPr>
    </w:p>
    <w:p w14:paraId="276C1C2C">
      <w:pPr>
        <w:pStyle w:val="2"/>
        <w:rPr>
          <w:rFonts w:hint="default" w:ascii="Times New Roman" w:hAnsi="Times New Roman" w:eastAsia="仿宋_GB2312" w:cs="Times New Roman"/>
          <w:bCs/>
          <w:sz w:val="22"/>
          <w:szCs w:val="24"/>
        </w:rPr>
      </w:pPr>
    </w:p>
    <w:p w14:paraId="7C1BC9E1">
      <w:pPr>
        <w:pStyle w:val="2"/>
        <w:rPr>
          <w:rFonts w:hint="default" w:ascii="Times New Roman" w:hAnsi="Times New Roman" w:eastAsia="仿宋_GB2312" w:cs="Times New Roman"/>
          <w:bCs/>
          <w:sz w:val="22"/>
          <w:szCs w:val="24"/>
        </w:rPr>
      </w:pPr>
    </w:p>
    <w:p w14:paraId="19BF12D9">
      <w:pPr>
        <w:pStyle w:val="2"/>
        <w:rPr>
          <w:rFonts w:hint="default" w:ascii="Times New Roman" w:hAnsi="Times New Roman" w:eastAsia="仿宋_GB2312" w:cs="Times New Roman"/>
          <w:bCs/>
          <w:sz w:val="22"/>
          <w:szCs w:val="24"/>
        </w:rPr>
      </w:pPr>
    </w:p>
    <w:p w14:paraId="69666F0A">
      <w:pPr>
        <w:pStyle w:val="2"/>
        <w:rPr>
          <w:rFonts w:hint="default" w:ascii="Times New Roman" w:hAnsi="Times New Roman" w:eastAsia="仿宋_GB2312" w:cs="Times New Roman"/>
          <w:bCs/>
          <w:sz w:val="22"/>
          <w:szCs w:val="24"/>
        </w:rPr>
      </w:pPr>
    </w:p>
    <w:p w14:paraId="0E106157">
      <w:pPr>
        <w:pStyle w:val="2"/>
        <w:rPr>
          <w:rFonts w:hint="default" w:ascii="Times New Roman" w:hAnsi="Times New Roman" w:eastAsia="仿宋_GB2312" w:cs="Times New Roman"/>
          <w:bCs/>
          <w:sz w:val="22"/>
          <w:szCs w:val="24"/>
        </w:rPr>
      </w:pPr>
    </w:p>
    <w:p w14:paraId="2FC1640F">
      <w:pPr>
        <w:pStyle w:val="2"/>
        <w:rPr>
          <w:rFonts w:hint="default" w:ascii="Times New Roman" w:hAnsi="Times New Roman" w:eastAsia="仿宋_GB2312" w:cs="Times New Roman"/>
          <w:bCs/>
          <w:sz w:val="22"/>
          <w:szCs w:val="24"/>
        </w:rPr>
      </w:pPr>
    </w:p>
    <w:p w14:paraId="3A469C4B">
      <w:pPr>
        <w:pStyle w:val="2"/>
        <w:rPr>
          <w:rFonts w:hint="default" w:ascii="Times New Roman" w:hAnsi="Times New Roman" w:eastAsia="仿宋_GB2312" w:cs="Times New Roman"/>
          <w:bCs/>
          <w:sz w:val="22"/>
          <w:szCs w:val="24"/>
        </w:rPr>
      </w:pPr>
    </w:p>
    <w:p w14:paraId="304F329A">
      <w:pPr>
        <w:pStyle w:val="2"/>
        <w:rPr>
          <w:rFonts w:hint="default" w:ascii="Times New Roman" w:hAnsi="Times New Roman" w:eastAsia="仿宋_GB2312" w:cs="Times New Roman"/>
          <w:bCs/>
          <w:sz w:val="22"/>
          <w:szCs w:val="24"/>
        </w:rPr>
      </w:pPr>
    </w:p>
    <w:p w14:paraId="0C0708C2">
      <w:pPr>
        <w:pStyle w:val="2"/>
        <w:rPr>
          <w:rFonts w:hint="default" w:ascii="Times New Roman" w:hAnsi="Times New Roman" w:eastAsia="仿宋_GB2312" w:cs="Times New Roman"/>
          <w:bCs/>
          <w:sz w:val="22"/>
          <w:szCs w:val="24"/>
        </w:rPr>
      </w:pPr>
    </w:p>
    <w:p w14:paraId="2B216705">
      <w:pPr>
        <w:pStyle w:val="2"/>
        <w:rPr>
          <w:rFonts w:hint="default" w:ascii="Times New Roman" w:hAnsi="Times New Roman" w:eastAsia="仿宋_GB2312" w:cs="Times New Roman"/>
          <w:bCs/>
          <w:sz w:val="22"/>
          <w:szCs w:val="24"/>
        </w:rPr>
        <w:sectPr>
          <w:pgSz w:w="11906" w:h="16838"/>
          <w:pgMar w:top="1440" w:right="1797" w:bottom="1440" w:left="1797" w:header="851" w:footer="992" w:gutter="0"/>
          <w:pgNumType w:fmt="decimal"/>
          <w:cols w:space="720" w:num="1"/>
          <w:docGrid w:type="lines" w:linePitch="312" w:charSpace="0"/>
        </w:sectPr>
      </w:pPr>
    </w:p>
    <w:p w14:paraId="3F0387AC">
      <w:pPr>
        <w:pStyle w:val="2"/>
        <w:rPr>
          <w:rFonts w:hint="default" w:ascii="Times New Roman" w:hAnsi="Times New Roman" w:eastAsia="仿宋_GB2312" w:cs="Times New Roman"/>
          <w:bCs/>
          <w:sz w:val="22"/>
          <w:szCs w:val="24"/>
        </w:rPr>
      </w:pPr>
    </w:p>
    <w:p w14:paraId="26801A23">
      <w:pPr>
        <w:pStyle w:val="2"/>
        <w:rPr>
          <w:rFonts w:hint="default" w:ascii="Times New Roman" w:hAnsi="Times New Roman" w:eastAsia="仿宋_GB2312" w:cs="Times New Roman"/>
          <w:bCs/>
          <w:sz w:val="22"/>
          <w:szCs w:val="24"/>
        </w:rPr>
      </w:pPr>
    </w:p>
    <w:p w14:paraId="21E097D5">
      <w:pPr>
        <w:pStyle w:val="2"/>
        <w:rPr>
          <w:rFonts w:hint="default" w:ascii="Times New Roman" w:hAnsi="Times New Roman" w:eastAsia="仿宋_GB2312" w:cs="Times New Roman"/>
          <w:bCs/>
          <w:sz w:val="22"/>
          <w:szCs w:val="24"/>
        </w:rPr>
      </w:pPr>
    </w:p>
    <w:p w14:paraId="539A3F14">
      <w:pPr>
        <w:pStyle w:val="2"/>
        <w:rPr>
          <w:rFonts w:hint="default" w:ascii="Times New Roman" w:hAnsi="Times New Roman" w:eastAsia="仿宋_GB2312" w:cs="Times New Roman"/>
          <w:bCs/>
          <w:sz w:val="22"/>
          <w:szCs w:val="24"/>
        </w:rPr>
      </w:pPr>
    </w:p>
    <w:p w14:paraId="41483994">
      <w:pPr>
        <w:pStyle w:val="2"/>
        <w:rPr>
          <w:rFonts w:hint="default" w:ascii="Times New Roman" w:hAnsi="Times New Roman" w:eastAsia="仿宋_GB2312" w:cs="Times New Roman"/>
          <w:bCs/>
          <w:sz w:val="22"/>
          <w:szCs w:val="24"/>
        </w:rPr>
      </w:pPr>
    </w:p>
    <w:p w14:paraId="637BE27D">
      <w:pPr>
        <w:pStyle w:val="2"/>
        <w:rPr>
          <w:rFonts w:hint="default" w:ascii="Times New Roman" w:hAnsi="Times New Roman" w:eastAsia="仿宋_GB2312" w:cs="Times New Roman"/>
          <w:bCs/>
          <w:sz w:val="22"/>
          <w:szCs w:val="24"/>
        </w:rPr>
      </w:pPr>
    </w:p>
    <w:p w14:paraId="36CE91AD">
      <w:pPr>
        <w:pStyle w:val="2"/>
        <w:rPr>
          <w:rFonts w:hint="default" w:ascii="Times New Roman" w:hAnsi="Times New Roman" w:eastAsia="仿宋_GB2312" w:cs="Times New Roman"/>
          <w:bCs/>
          <w:sz w:val="22"/>
          <w:szCs w:val="24"/>
        </w:rPr>
      </w:pPr>
    </w:p>
    <w:p w14:paraId="7A101DE5">
      <w:pPr>
        <w:pStyle w:val="2"/>
        <w:rPr>
          <w:rFonts w:hint="default" w:ascii="Times New Roman" w:hAnsi="Times New Roman" w:eastAsia="仿宋_GB2312" w:cs="Times New Roman"/>
          <w:bCs/>
          <w:sz w:val="22"/>
          <w:szCs w:val="24"/>
        </w:rPr>
      </w:pPr>
    </w:p>
    <w:p w14:paraId="6A7942DE">
      <w:pPr>
        <w:pStyle w:val="2"/>
        <w:rPr>
          <w:rFonts w:hint="default" w:ascii="Times New Roman" w:hAnsi="Times New Roman" w:eastAsia="仿宋_GB2312" w:cs="Times New Roman"/>
          <w:bCs/>
          <w:sz w:val="22"/>
          <w:szCs w:val="24"/>
        </w:rPr>
      </w:pPr>
    </w:p>
    <w:p w14:paraId="45564D1A">
      <w:pPr>
        <w:pStyle w:val="2"/>
        <w:rPr>
          <w:rFonts w:hint="default" w:ascii="Times New Roman" w:hAnsi="Times New Roman" w:eastAsia="仿宋_GB2312" w:cs="Times New Roman"/>
          <w:bCs/>
          <w:sz w:val="22"/>
          <w:szCs w:val="24"/>
        </w:rPr>
      </w:pPr>
    </w:p>
    <w:p w14:paraId="5C5C4A58">
      <w:pPr>
        <w:pStyle w:val="2"/>
        <w:rPr>
          <w:rFonts w:hint="default" w:ascii="Times New Roman" w:hAnsi="Times New Roman" w:eastAsia="仿宋_GB2312" w:cs="Times New Roman"/>
          <w:bCs/>
          <w:sz w:val="22"/>
          <w:szCs w:val="24"/>
        </w:rPr>
      </w:pPr>
    </w:p>
    <w:p w14:paraId="026F6F70">
      <w:pPr>
        <w:pStyle w:val="2"/>
        <w:rPr>
          <w:rFonts w:hint="default" w:ascii="Times New Roman" w:hAnsi="Times New Roman" w:eastAsia="仿宋_GB2312" w:cs="Times New Roman"/>
          <w:bCs/>
          <w:sz w:val="22"/>
          <w:szCs w:val="24"/>
        </w:rPr>
      </w:pPr>
    </w:p>
    <w:p w14:paraId="287E2D8F">
      <w:pPr>
        <w:pStyle w:val="2"/>
        <w:rPr>
          <w:rFonts w:hint="default" w:ascii="Times New Roman" w:hAnsi="Times New Roman" w:eastAsia="仿宋_GB2312" w:cs="Times New Roman"/>
          <w:bCs/>
          <w:sz w:val="22"/>
          <w:szCs w:val="24"/>
        </w:rPr>
      </w:pPr>
    </w:p>
    <w:p w14:paraId="5A08350D">
      <w:pPr>
        <w:pStyle w:val="2"/>
        <w:rPr>
          <w:rFonts w:hint="default" w:ascii="Times New Roman" w:hAnsi="Times New Roman" w:eastAsia="仿宋_GB2312" w:cs="Times New Roman"/>
          <w:bCs/>
          <w:sz w:val="22"/>
          <w:szCs w:val="24"/>
        </w:rPr>
      </w:pPr>
    </w:p>
    <w:p w14:paraId="32A92F8E">
      <w:pPr>
        <w:pStyle w:val="2"/>
        <w:rPr>
          <w:rFonts w:hint="default" w:ascii="Times New Roman" w:hAnsi="Times New Roman" w:eastAsia="仿宋_GB2312" w:cs="Times New Roman"/>
          <w:bCs/>
          <w:sz w:val="22"/>
          <w:szCs w:val="24"/>
        </w:rPr>
      </w:pPr>
    </w:p>
    <w:p w14:paraId="03F9AD9F">
      <w:pPr>
        <w:pStyle w:val="2"/>
        <w:rPr>
          <w:rFonts w:hint="default" w:ascii="Times New Roman" w:hAnsi="Times New Roman" w:eastAsia="仿宋_GB2312" w:cs="Times New Roman"/>
          <w:bCs/>
          <w:sz w:val="22"/>
          <w:szCs w:val="24"/>
        </w:rPr>
      </w:pPr>
    </w:p>
    <w:p w14:paraId="7E99E5A5">
      <w:pPr>
        <w:pStyle w:val="2"/>
        <w:rPr>
          <w:rFonts w:hint="default" w:ascii="Times New Roman" w:hAnsi="Times New Roman" w:eastAsia="仿宋_GB2312" w:cs="Times New Roman"/>
          <w:bCs/>
          <w:sz w:val="22"/>
          <w:szCs w:val="24"/>
        </w:rPr>
      </w:pPr>
    </w:p>
    <w:p w14:paraId="4C2579E1">
      <w:pPr>
        <w:pStyle w:val="2"/>
        <w:rPr>
          <w:rFonts w:hint="default" w:ascii="Times New Roman" w:hAnsi="Times New Roman" w:eastAsia="仿宋_GB2312" w:cs="Times New Roman"/>
          <w:bCs/>
          <w:sz w:val="22"/>
          <w:szCs w:val="24"/>
        </w:rPr>
      </w:pPr>
    </w:p>
    <w:p w14:paraId="7D1E7BF7">
      <w:pPr>
        <w:pStyle w:val="2"/>
        <w:rPr>
          <w:rFonts w:hint="default" w:ascii="Times New Roman" w:hAnsi="Times New Roman" w:eastAsia="仿宋_GB2312" w:cs="Times New Roman"/>
          <w:bCs/>
          <w:sz w:val="22"/>
          <w:szCs w:val="24"/>
        </w:rPr>
      </w:pPr>
    </w:p>
    <w:p w14:paraId="5A6220A3">
      <w:pPr>
        <w:pStyle w:val="2"/>
        <w:rPr>
          <w:rFonts w:hint="default" w:ascii="Times New Roman" w:hAnsi="Times New Roman" w:eastAsia="仿宋_GB2312" w:cs="Times New Roman"/>
          <w:bCs/>
          <w:sz w:val="22"/>
          <w:szCs w:val="24"/>
        </w:rPr>
      </w:pPr>
    </w:p>
    <w:p w14:paraId="11B76B5E">
      <w:pPr>
        <w:pStyle w:val="2"/>
        <w:rPr>
          <w:rFonts w:hint="default" w:ascii="Times New Roman" w:hAnsi="Times New Roman" w:eastAsia="仿宋_GB2312" w:cs="Times New Roman"/>
          <w:bCs/>
          <w:sz w:val="22"/>
          <w:szCs w:val="24"/>
        </w:rPr>
      </w:pPr>
    </w:p>
    <w:p w14:paraId="68054053">
      <w:pPr>
        <w:pStyle w:val="2"/>
        <w:rPr>
          <w:rFonts w:hint="default" w:ascii="Times New Roman" w:hAnsi="Times New Roman" w:eastAsia="仿宋_GB2312" w:cs="Times New Roman"/>
          <w:bCs/>
          <w:sz w:val="22"/>
          <w:szCs w:val="24"/>
        </w:rPr>
      </w:pPr>
    </w:p>
    <w:p w14:paraId="2A31DF04">
      <w:pPr>
        <w:pStyle w:val="2"/>
        <w:rPr>
          <w:rFonts w:hint="default" w:ascii="Times New Roman" w:hAnsi="Times New Roman" w:eastAsia="仿宋_GB2312" w:cs="Times New Roman"/>
          <w:bCs/>
          <w:sz w:val="22"/>
          <w:szCs w:val="24"/>
        </w:rPr>
      </w:pPr>
    </w:p>
    <w:p w14:paraId="5C6A8E5C">
      <w:pPr>
        <w:pStyle w:val="2"/>
        <w:rPr>
          <w:rFonts w:hint="default" w:ascii="Times New Roman" w:hAnsi="Times New Roman" w:eastAsia="仿宋_GB2312" w:cs="Times New Roman"/>
          <w:bCs/>
          <w:sz w:val="22"/>
          <w:szCs w:val="24"/>
        </w:rPr>
      </w:pPr>
    </w:p>
    <w:p w14:paraId="41C860F3">
      <w:pPr>
        <w:pStyle w:val="2"/>
        <w:rPr>
          <w:rFonts w:hint="default" w:ascii="Times New Roman" w:hAnsi="Times New Roman" w:eastAsia="仿宋_GB2312" w:cs="Times New Roman"/>
          <w:bCs/>
          <w:sz w:val="22"/>
          <w:szCs w:val="24"/>
        </w:rPr>
      </w:pPr>
    </w:p>
    <w:p w14:paraId="750628F9">
      <w:pPr>
        <w:pStyle w:val="2"/>
        <w:rPr>
          <w:rFonts w:hint="default" w:ascii="Times New Roman" w:hAnsi="Times New Roman" w:eastAsia="仿宋_GB2312" w:cs="Times New Roman"/>
          <w:bCs/>
          <w:sz w:val="22"/>
          <w:szCs w:val="24"/>
        </w:rPr>
      </w:pPr>
    </w:p>
    <w:p w14:paraId="23D93427">
      <w:pPr>
        <w:pStyle w:val="2"/>
        <w:rPr>
          <w:rFonts w:hint="default" w:ascii="Times New Roman" w:hAnsi="Times New Roman" w:eastAsia="仿宋_GB2312" w:cs="Times New Roman"/>
          <w:bCs/>
          <w:sz w:val="22"/>
          <w:szCs w:val="24"/>
        </w:rPr>
      </w:pPr>
    </w:p>
    <w:p w14:paraId="7459998B">
      <w:pPr>
        <w:pStyle w:val="2"/>
        <w:rPr>
          <w:rFonts w:hint="default" w:ascii="Times New Roman" w:hAnsi="Times New Roman" w:eastAsia="仿宋_GB2312" w:cs="Times New Roman"/>
          <w:bCs/>
          <w:sz w:val="22"/>
          <w:szCs w:val="24"/>
        </w:rPr>
      </w:pPr>
    </w:p>
    <w:p w14:paraId="1C4B49DC">
      <w:pPr>
        <w:pStyle w:val="2"/>
        <w:rPr>
          <w:rFonts w:hint="default" w:ascii="Times New Roman" w:hAnsi="Times New Roman" w:eastAsia="仿宋_GB2312" w:cs="Times New Roman"/>
          <w:bCs/>
          <w:sz w:val="22"/>
          <w:szCs w:val="24"/>
        </w:rPr>
      </w:pPr>
    </w:p>
    <w:p w14:paraId="5060F0B7">
      <w:pPr>
        <w:pStyle w:val="2"/>
        <w:rPr>
          <w:rFonts w:hint="default" w:ascii="Times New Roman" w:hAnsi="Times New Roman" w:eastAsia="仿宋_GB2312" w:cs="Times New Roman"/>
          <w:bCs/>
          <w:sz w:val="22"/>
          <w:szCs w:val="24"/>
        </w:rPr>
      </w:pPr>
    </w:p>
    <w:p w14:paraId="6D031ECF">
      <w:pPr>
        <w:pStyle w:val="2"/>
        <w:rPr>
          <w:rFonts w:hint="default" w:ascii="Times New Roman" w:hAnsi="Times New Roman" w:eastAsia="仿宋_GB2312" w:cs="Times New Roman"/>
          <w:bCs/>
          <w:sz w:val="22"/>
          <w:szCs w:val="24"/>
        </w:rPr>
      </w:pPr>
    </w:p>
    <w:p w14:paraId="4FD88C0D">
      <w:pPr>
        <w:pStyle w:val="2"/>
        <w:rPr>
          <w:rFonts w:hint="default" w:ascii="Times New Roman" w:hAnsi="Times New Roman" w:eastAsia="仿宋_GB2312" w:cs="Times New Roman"/>
          <w:bCs/>
          <w:sz w:val="22"/>
          <w:szCs w:val="24"/>
        </w:rPr>
      </w:pPr>
    </w:p>
    <w:p w14:paraId="30D00AE5">
      <w:pPr>
        <w:pStyle w:val="2"/>
        <w:rPr>
          <w:rFonts w:hint="default" w:ascii="Times New Roman" w:hAnsi="Times New Roman" w:eastAsia="仿宋_GB2312" w:cs="Times New Roman"/>
          <w:bCs/>
          <w:sz w:val="22"/>
          <w:szCs w:val="24"/>
        </w:rPr>
      </w:pPr>
    </w:p>
    <w:p w14:paraId="0B6D8168">
      <w:pPr>
        <w:pStyle w:val="2"/>
        <w:rPr>
          <w:rFonts w:hint="default" w:ascii="Times New Roman" w:hAnsi="Times New Roman" w:eastAsia="仿宋_GB2312" w:cs="Times New Roman"/>
          <w:bCs/>
          <w:sz w:val="22"/>
          <w:szCs w:val="24"/>
        </w:rPr>
      </w:pPr>
    </w:p>
    <w:p w14:paraId="62B35821">
      <w:pPr>
        <w:pStyle w:val="2"/>
        <w:rPr>
          <w:rFonts w:hint="default" w:ascii="Times New Roman" w:hAnsi="Times New Roman" w:eastAsia="仿宋_GB2312" w:cs="Times New Roman"/>
          <w:bCs/>
          <w:sz w:val="22"/>
          <w:szCs w:val="24"/>
        </w:rPr>
      </w:pPr>
    </w:p>
    <w:p w14:paraId="1364A50B">
      <w:pPr>
        <w:pStyle w:val="2"/>
        <w:rPr>
          <w:rFonts w:hint="default" w:ascii="Times New Roman" w:hAnsi="Times New Roman" w:eastAsia="仿宋_GB2312" w:cs="Times New Roman"/>
          <w:bCs/>
          <w:sz w:val="22"/>
          <w:szCs w:val="24"/>
        </w:rPr>
      </w:pPr>
    </w:p>
    <w:p w14:paraId="3BF54060">
      <w:pPr>
        <w:pStyle w:val="2"/>
        <w:rPr>
          <w:rFonts w:hint="default" w:ascii="Times New Roman" w:hAnsi="Times New Roman" w:eastAsia="仿宋_GB2312" w:cs="Times New Roman"/>
          <w:bCs/>
          <w:sz w:val="22"/>
          <w:szCs w:val="24"/>
        </w:rPr>
      </w:pPr>
    </w:p>
    <w:p w14:paraId="77644203">
      <w:pPr>
        <w:pStyle w:val="2"/>
        <w:rPr>
          <w:rFonts w:hint="default" w:ascii="Times New Roman" w:hAnsi="Times New Roman" w:eastAsia="仿宋_GB2312" w:cs="Times New Roman"/>
          <w:bCs/>
          <w:sz w:val="22"/>
          <w:szCs w:val="24"/>
        </w:rPr>
      </w:pPr>
    </w:p>
    <w:p w14:paraId="718861D8">
      <w:pPr>
        <w:pStyle w:val="2"/>
        <w:rPr>
          <w:rFonts w:hint="default" w:ascii="Times New Roman" w:hAnsi="Times New Roman" w:eastAsia="仿宋_GB2312" w:cs="Times New Roman"/>
          <w:bCs/>
          <w:sz w:val="22"/>
          <w:szCs w:val="24"/>
        </w:rPr>
      </w:pPr>
    </w:p>
    <w:p w14:paraId="31A601FF">
      <w:pPr>
        <w:keepNext w:val="0"/>
        <w:keepLines w:val="0"/>
        <w:pageBreakBefore w:val="0"/>
        <w:widowControl w:val="0"/>
        <w:kinsoku/>
        <w:wordWrap/>
        <w:overflowPunct/>
        <w:topLinePunct w:val="0"/>
        <w:autoSpaceDE/>
        <w:autoSpaceDN/>
        <w:bidi w:val="0"/>
        <w:adjustRightInd/>
        <w:snapToGrid/>
        <w:spacing w:line="600" w:lineRule="exact"/>
        <w:ind w:firstLine="280" w:firstLineChars="100"/>
        <w:jc w:val="both"/>
        <w:textAlignment w:val="auto"/>
        <w:outlineLvl w:val="9"/>
        <w:rPr>
          <w:rFonts w:hint="default" w:ascii="Times New Roman" w:hAnsi="Times New Roman" w:eastAsia="楷体_GB2312" w:cs="Times New Roman"/>
          <w:spacing w:val="0"/>
          <w:kern w:val="2"/>
          <w:sz w:val="28"/>
          <w:szCs w:val="28"/>
          <w:lang w:eastAsia="zh-CN"/>
        </w:rPr>
      </w:pPr>
      <w:r>
        <w:rPr>
          <w:rFonts w:hint="default" w:ascii="Times New Roman" w:hAnsi="Times New Roman" w:eastAsia="楷体_GB2312" w:cs="Times New Roman"/>
          <w:spacing w:val="0"/>
          <w:kern w:val="2"/>
          <w:sz w:val="28"/>
          <w:szCs w:val="28"/>
          <w:lang w:eastAsia="zh-CN"/>
        </w:rPr>
        <w:t>（</w:t>
      </w:r>
      <w:r>
        <w:rPr>
          <w:rFonts w:hint="eastAsia" w:ascii="Times New Roman" w:hAnsi="Times New Roman" w:eastAsia="楷体_GB2312" w:cs="Times New Roman"/>
          <w:spacing w:val="0"/>
          <w:kern w:val="2"/>
          <w:sz w:val="28"/>
          <w:szCs w:val="28"/>
          <w:lang w:eastAsia="zh-CN"/>
        </w:rPr>
        <w:t>此件公开发布</w:t>
      </w:r>
      <w:r>
        <w:rPr>
          <w:rFonts w:hint="default" w:ascii="Times New Roman" w:hAnsi="Times New Roman" w:eastAsia="楷体_GB2312" w:cs="Times New Roman"/>
          <w:spacing w:val="0"/>
          <w:kern w:val="2"/>
          <w:sz w:val="28"/>
          <w:szCs w:val="28"/>
          <w:lang w:eastAsia="zh-CN"/>
        </w:rPr>
        <w:t>）</w:t>
      </w:r>
    </w:p>
    <w:p w14:paraId="27677238">
      <w:pPr>
        <w:spacing w:line="600" w:lineRule="exact"/>
        <w:rPr>
          <w:rFonts w:hint="default" w:ascii="Times New Roman" w:hAnsi="Times New Roman" w:cs="Times New Roman"/>
          <w:sz w:val="28"/>
          <w:szCs w:val="28"/>
          <w:lang w:val="en-US"/>
        </w:rPr>
      </w:pPr>
      <w:r>
        <w:rPr>
          <w:rFonts w:hint="default" w:ascii="Times New Roman" w:hAnsi="Times New Roman" w:eastAsia="楷体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43180</wp:posOffset>
                </wp:positionV>
                <wp:extent cx="5445125" cy="635"/>
                <wp:effectExtent l="0" t="0" r="0" b="0"/>
                <wp:wrapNone/>
                <wp:docPr id="4" name="直接连接符 4"/>
                <wp:cNvGraphicFramePr/>
                <a:graphic xmlns:a="http://schemas.openxmlformats.org/drawingml/2006/main">
                  <a:graphicData uri="http://schemas.microsoft.com/office/word/2010/wordprocessingShape">
                    <wps:wsp>
                      <wps:cNvSpPr/>
                      <wps:spPr>
                        <a:xfrm>
                          <a:off x="0" y="0"/>
                          <a:ext cx="544512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55pt;margin-top:3.4pt;height:0.05pt;width:428.75pt;z-index:251662336;mso-width-relative:page;mso-height-relative:page;" fillcolor="#FFFFFF" filled="t" stroked="t" coordsize="21600,21600" o:gfxdata="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sf9UI0wAAAAUBAAAPAAAAAAAAAAEAIAAAACIAAABkcnMvZG93bnJldi54bWxQSwECFAAU&#10;AAAACACHTuJAciSl5PYBAADnAwAADgAAAAAAAAABACAAAAAiAQAAZHJzL2Uyb0RvYy54bWxQSwUG&#10;AAAAAAYABgBZAQAAigUAAAAA&#10;">
                <v:path arrowok="t"/>
                <v:fill on="t" focussize="0,0"/>
                <v:stroke weight="1.25pt"/>
                <v:imagedata o:title=""/>
                <o:lock v:ext="edit" aspectratio="f"/>
              </v:line>
            </w:pict>
          </mc:Fallback>
        </mc:AlternateContent>
      </w:r>
      <w:r>
        <w:rPr>
          <w:rFonts w:hint="eastAsia" w:ascii="Times New Roman" w:hAnsi="Times New Roman" w:eastAsia="楷体_GB2312" w:cs="Times New Roman"/>
          <w:sz w:val="28"/>
          <w:szCs w:val="28"/>
          <w:lang w:val="en-US" w:eastAsia="zh-CN"/>
        </w:rPr>
        <w:t xml:space="preserve">  </w:t>
      </w:r>
      <w:r>
        <w:rPr>
          <w:rFonts w:hint="default" w:ascii="Times New Roman" w:hAnsi="Times New Roman" w:eastAsia="仿宋_GB2312" w:cs="Times New Roman"/>
          <w:spacing w:val="0"/>
          <w:kern w:val="2"/>
          <w:sz w:val="28"/>
          <w:szCs w:val="28"/>
          <w:lang w:val="en-US" w:eastAsia="zh-CN"/>
        </w:rPr>
        <w:t>广西</w:t>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995045</wp:posOffset>
                </wp:positionH>
                <wp:positionV relativeFrom="paragraph">
                  <wp:posOffset>8736330</wp:posOffset>
                </wp:positionV>
                <wp:extent cx="5521960" cy="635"/>
                <wp:effectExtent l="0" t="0" r="0" b="0"/>
                <wp:wrapNone/>
                <wp:docPr id="5" name="直接连接符 5"/>
                <wp:cNvGraphicFramePr/>
                <a:graphic xmlns:a="http://schemas.openxmlformats.org/drawingml/2006/main">
                  <a:graphicData uri="http://schemas.microsoft.com/office/word/2010/wordprocessingShape">
                    <wps:wsp>
                      <wps:cNvSpPr/>
                      <wps:spPr>
                        <a:xfrm>
                          <a:off x="0" y="0"/>
                          <a:ext cx="552196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35pt;margin-top:687.9pt;height:0.05pt;width:434.8pt;z-index:251660288;mso-width-relative:page;mso-height-relative:page;" fillcolor="#FFFFFF" filled="t" stroked="t" coordsize="21600,21600" o:gfxdata="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eBx42wAAAA4BAAAPAAAAAAAAAAEAIAAAACIAAABkcnMvZG93bnJldi54&#10;bWxQSwECFAAUAAAACACHTuJApxr04/cBAADnAwAADgAAAAAAAAABACAAAAAqAQAAZHJzL2Uyb0Rv&#10;Yy54bWxQSwUGAAAAAAYABgBZAQAAkwUAAAAA&#10;">
                <v:path arrowok="t"/>
                <v:fill on="t" focussize="0,0"/>
                <v:stroke weight="1.25pt"/>
                <v:imagedata o:title=""/>
                <o:lock v:ext="edit" aspectratio="f"/>
              </v:line>
            </w:pict>
          </mc:Fallback>
        </mc:AlternateContent>
      </w:r>
      <w:r>
        <w:rPr>
          <w:rFonts w:hint="default" w:ascii="Times New Roman" w:hAnsi="Times New Roman" w:eastAsia="仿宋_GB2312" w:cs="Times New Roman"/>
          <w:spacing w:val="0"/>
          <w:kern w:val="2"/>
          <w:sz w:val="28"/>
          <w:szCs w:val="28"/>
          <w:lang w:val="en-US" w:eastAsia="zh-CN"/>
        </w:rPr>
        <w:t xml:space="preserve">壮族自治区商务厅办公室        </w:t>
      </w:r>
      <w:r>
        <w:rPr>
          <w:rFonts w:hint="eastAsia" w:ascii="Times New Roman" w:hAnsi="Times New Roman" w:eastAsia="仿宋_GB2312" w:cs="Times New Roman"/>
          <w:spacing w:val="0"/>
          <w:kern w:val="2"/>
          <w:sz w:val="28"/>
          <w:szCs w:val="28"/>
          <w:lang w:val="en-US" w:eastAsia="zh-CN"/>
        </w:rPr>
        <w:t xml:space="preserve">  </w:t>
      </w:r>
      <w:r>
        <w:rPr>
          <w:rFonts w:hint="default" w:ascii="Times New Roman" w:hAnsi="Times New Roman" w:eastAsia="仿宋_GB2312" w:cs="Times New Roman"/>
          <w:spacing w:val="0"/>
          <w:kern w:val="2"/>
          <w:sz w:val="28"/>
          <w:szCs w:val="28"/>
          <w:lang w:val="en-US" w:eastAsia="zh-CN"/>
        </w:rPr>
        <w:t xml:space="preserve">  2024年9月</w:t>
      </w:r>
      <w:r>
        <w:rPr>
          <w:rFonts w:hint="default" w:ascii="Times New Roman" w:hAnsi="Times New Roman" w:eastAsia="仿宋_GB2312" w:cs="Times New Roman"/>
          <w:spacing w:val="0"/>
          <w:kern w:val="2"/>
          <w:sz w:val="28"/>
          <w:szCs w:val="28"/>
          <w:lang w:val="en" w:eastAsia="zh-CN"/>
        </w:rPr>
        <w:t>30</w:t>
      </w:r>
      <w:r>
        <w:rPr>
          <w:rFonts w:hint="default" w:ascii="Times New Roman" w:hAnsi="Times New Roman" w:eastAsia="仿宋_GB2312" w:cs="Times New Roman"/>
          <w:spacing w:val="0"/>
          <w:kern w:val="2"/>
          <w:sz w:val="28"/>
          <w:szCs w:val="28"/>
          <w:lang w:val="en-US" w:eastAsia="zh-CN"/>
        </w:rPr>
        <w:t xml:space="preserve">日印发  </w:t>
      </w:r>
    </w:p>
    <w:p w14:paraId="55FACDEB">
      <w:pPr>
        <w:pStyle w:val="2"/>
        <w:rPr>
          <w:rFonts w:hint="default" w:ascii="Times New Roman" w:hAnsi="Times New Roman" w:eastAsia="仿宋_GB2312" w:cs="Times New Roman"/>
          <w:bCs/>
          <w:sz w:val="22"/>
          <w:szCs w:val="24"/>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132080</wp:posOffset>
                </wp:positionV>
                <wp:extent cx="5457825" cy="635"/>
                <wp:effectExtent l="0" t="0" r="0" b="0"/>
                <wp:wrapNone/>
                <wp:docPr id="3" name="直接连接符 3"/>
                <wp:cNvGraphicFramePr/>
                <a:graphic xmlns:a="http://schemas.openxmlformats.org/drawingml/2006/main">
                  <a:graphicData uri="http://schemas.microsoft.com/office/word/2010/wordprocessingShape">
                    <wps:wsp>
                      <wps:cNvSpPr/>
                      <wps:spPr>
                        <a:xfrm>
                          <a:off x="0" y="0"/>
                          <a:ext cx="545782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10.4pt;height:0.05pt;width:429.75pt;z-index:251661312;mso-width-relative:page;mso-height-relative:page;" fillcolor="#FFFFFF" filled="t" stroked="t" coordsize="21600,21600" o:gfxdata="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Yznx3WAAAABwEAAA8AAAAAAAAAAQAgAAAAIgAAAGRycy9kb3ducmV2LnhtbFBLAQIU&#10;ABQAAAAIAIdO4kBVqkKG9QEAAOcDAAAOAAAAAAAAAAEAIAAAACUBAABkcnMvZTJvRG9jLnhtbFBL&#10;BQYAAAAABgAGAFkBAACMBQAAAAA=&#10;">
                <v:path arrowok="t"/>
                <v:fill on="t" focussize="0,0"/>
                <v:stroke weight="1.25pt"/>
                <v:imagedata o:title=""/>
                <o:lock v:ext="edit" aspectratio="f"/>
              </v:line>
            </w:pict>
          </mc:Fallback>
        </mc:AlternateContent>
      </w:r>
    </w:p>
    <w:p w14:paraId="24EC25EE"/>
    <w:sectPr>
      <w:footerReference r:id="rId4" w:type="default"/>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C7EF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3F0BB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path/>
              <v:fill on="f" focussize="0,0"/>
              <v:stroke on="f" weight="0.5pt"/>
              <v:imagedata o:title=""/>
              <o:lock v:ext="edit" aspectratio="f"/>
              <v:textbox inset="0mm,0mm,0mm,0mm" style="mso-fit-shape-to-text:t;">
                <w:txbxContent>
                  <w:p w14:paraId="623F0BBA">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CF2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kM2IwMTZjMzRjZDU5MTUwYjU3YmI1OTc5YWE5MTgifQ=="/>
  </w:docVars>
  <w:rsids>
    <w:rsidRoot w:val="53363769"/>
    <w:rsid w:val="53363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rPr>
  </w:style>
  <w:style w:type="paragraph" w:styleId="3">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Normal (Web)"/>
    <w:basedOn w:val="1"/>
    <w:qFormat/>
    <w:uiPriority w:val="99"/>
    <w:pPr>
      <w:spacing w:beforeAutospacing="1" w:afterAutospacing="1"/>
      <w:jc w:val="left"/>
    </w:pPr>
    <w:rPr>
      <w:rFonts w:ascii="Calibri" w:hAnsi="Calibri" w:eastAsia="宋体" w:cs="Calibri"/>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font41"/>
    <w:basedOn w:val="7"/>
    <w:uiPriority w:val="0"/>
    <w:rPr>
      <w:rFonts w:hint="default" w:ascii="Times New Roman" w:hAnsi="Times New Roman" w:cs="Times New Roman"/>
      <w:b/>
      <w:color w:val="000000"/>
      <w:sz w:val="24"/>
      <w:szCs w:val="24"/>
      <w:u w:val="none"/>
    </w:rPr>
  </w:style>
  <w:style w:type="character" w:customStyle="1" w:styleId="10">
    <w:name w:val="font01"/>
    <w:basedOn w:val="7"/>
    <w:qFormat/>
    <w:uiPriority w:val="0"/>
    <w:rPr>
      <w:rFonts w:hint="eastAsia" w:ascii="仿宋_GB2312" w:eastAsia="仿宋_GB2312" w:cs="仿宋_GB2312"/>
      <w:b/>
      <w:color w:val="000000"/>
      <w:sz w:val="24"/>
      <w:szCs w:val="24"/>
      <w:u w:val="none"/>
    </w:rPr>
  </w:style>
  <w:style w:type="character" w:customStyle="1" w:styleId="11">
    <w:name w:val="font1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2024-11-13T09:00:00Z</dcterms:created>
  <dc:creator>唐律疏议</dc:creator>
  <cp:lastModifiedBy>唐律疏议</cp:lastModifiedBy>
  <dcterms:modified xsi:type="dcterms:W3CDTF">2024-11-13T09:01:31Z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3596B3FF151F4008A335769629B8A95D_11</vt:lpwstr>
  </property>
</Properties>
</file>