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5FCA7">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left"/>
        <w:rPr>
          <w:rFonts w:hint="default" w:ascii="Times New Roman" w:hAnsi="Times New Roman" w:eastAsia="黑体" w:cs="Times New Roman"/>
          <w:caps w:val="0"/>
          <w:color w:val="000000"/>
          <w:sz w:val="32"/>
          <w:szCs w:val="32"/>
          <w:highlight w:val="none"/>
          <w:lang w:val="en-US" w:eastAsia="zh-CN"/>
        </w:rPr>
      </w:pPr>
      <w:r>
        <w:rPr>
          <w:rFonts w:hint="default" w:ascii="Times New Roman" w:hAnsi="Times New Roman" w:eastAsia="黑体" w:cs="Times New Roman"/>
          <w:caps w:val="0"/>
          <w:color w:val="000000"/>
          <w:sz w:val="32"/>
          <w:szCs w:val="32"/>
          <w:highlight w:val="none"/>
          <w:lang w:val="en-US" w:eastAsia="zh-CN"/>
        </w:rPr>
        <w:t>附件1</w:t>
      </w:r>
    </w:p>
    <w:p w14:paraId="3242BD4D">
      <w:pPr>
        <w:spacing w:line="600" w:lineRule="exact"/>
        <w:rPr>
          <w:rFonts w:hint="default" w:ascii="Times New Roman" w:hAnsi="Times New Roman" w:cs="Times New Roman"/>
          <w:color w:val="auto"/>
        </w:rPr>
      </w:pPr>
    </w:p>
    <w:p w14:paraId="01D843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广西家电以旧换新和手机、平板、智能手表</w:t>
      </w:r>
    </w:p>
    <w:p w14:paraId="1C45D7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（手环）购新补贴申请（2025年度）</w:t>
      </w:r>
    </w:p>
    <w:p w14:paraId="159B03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b w:val="0"/>
          <w:bCs w:val="0"/>
          <w:kern w:val="2"/>
          <w:sz w:val="44"/>
          <w:szCs w:val="44"/>
          <w:highlight w:val="none"/>
          <w:lang w:val="en-US" w:eastAsia="zh-CN" w:bidi="ar-SA"/>
        </w:rPr>
        <w:t>“高效办成一件事”办事指南</w:t>
      </w:r>
    </w:p>
    <w:p w14:paraId="577E589F">
      <w:pPr>
        <w:overflowPunct w:val="0"/>
        <w:adjustRightInd w:val="0"/>
        <w:snapToGrid w:val="0"/>
        <w:spacing w:line="600" w:lineRule="exact"/>
        <w:rPr>
          <w:rFonts w:hint="default" w:ascii="Times New Roman" w:hAnsi="Times New Roman" w:eastAsia="方正小标宋简体" w:cs="Times New Roman"/>
          <w:color w:val="auto"/>
        </w:rPr>
      </w:pPr>
    </w:p>
    <w:p w14:paraId="630AA1E6">
      <w:pPr>
        <w:spacing w:line="600" w:lineRule="exact"/>
        <w:ind w:firstLine="640" w:firstLineChars="200"/>
        <w:jc w:val="both"/>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一、基本信息</w:t>
      </w:r>
    </w:p>
    <w:p w14:paraId="0120269E">
      <w:pPr>
        <w:overflowPunct w:val="0"/>
        <w:adjustRightInd w:val="0"/>
        <w:snapToGrid w:val="0"/>
        <w:spacing w:line="600" w:lineRule="exact"/>
        <w:ind w:firstLine="640" w:firstLineChars="200"/>
        <w:jc w:val="both"/>
        <w:outlineLvl w:val="1"/>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color w:val="auto"/>
          <w:sz w:val="32"/>
          <w:szCs w:val="32"/>
        </w:rPr>
        <w:t>（一）事项名称：</w:t>
      </w:r>
      <w:r>
        <w:rPr>
          <w:rFonts w:hint="default" w:ascii="Times New Roman" w:hAnsi="Times New Roman" w:eastAsia="仿宋_GB2312" w:cs="Times New Roman"/>
          <w:kern w:val="2"/>
          <w:sz w:val="32"/>
          <w:szCs w:val="32"/>
          <w:highlight w:val="none"/>
          <w:lang w:val="en-US" w:eastAsia="zh-CN" w:bidi="ar-SA"/>
        </w:rPr>
        <w:t>广西家电以旧换新和手机、平板、智能手表（手环）购新补贴申请（2025年度）“高效办成一件事”</w:t>
      </w:r>
    </w:p>
    <w:p w14:paraId="2B1A5590">
      <w:pPr>
        <w:overflowPunct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（二）服务对象：</w:t>
      </w:r>
      <w:r>
        <w:rPr>
          <w:rFonts w:hint="default" w:ascii="Times New Roman" w:hAnsi="Times New Roman" w:eastAsia="仿宋_GB2312" w:cs="Times New Roman"/>
          <w:kern w:val="2"/>
          <w:sz w:val="32"/>
          <w:szCs w:val="32"/>
          <w:highlight w:val="none"/>
          <w:lang w:val="en-US" w:eastAsia="zh-CN" w:bidi="ar-SA"/>
        </w:rPr>
        <w:t>有意愿购买家电和手机等产品的消费者</w:t>
      </w:r>
    </w:p>
    <w:p w14:paraId="27A7C285">
      <w:pPr>
        <w:overflowPunct w:val="0"/>
        <w:adjustRightInd w:val="0"/>
        <w:snapToGrid w:val="0"/>
        <w:spacing w:line="600" w:lineRule="exact"/>
        <w:ind w:firstLine="640" w:firstLineChars="200"/>
        <w:jc w:val="both"/>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（三）牵头单位：</w:t>
      </w:r>
      <w:r>
        <w:rPr>
          <w:rFonts w:hint="default" w:ascii="Times New Roman" w:hAnsi="Times New Roman" w:eastAsia="仿宋_GB2312" w:cs="Times New Roman"/>
          <w:kern w:val="2"/>
          <w:sz w:val="32"/>
          <w:szCs w:val="32"/>
          <w:highlight w:val="none"/>
          <w:lang w:val="en-US" w:eastAsia="zh-CN" w:bidi="ar-SA"/>
        </w:rPr>
        <w:t>自治区商务厅</w:t>
      </w:r>
    </w:p>
    <w:p w14:paraId="45BADC33">
      <w:pPr>
        <w:overflowPunct w:val="0"/>
        <w:adjustRightInd w:val="0"/>
        <w:snapToGrid w:val="0"/>
        <w:spacing w:line="600" w:lineRule="exact"/>
        <w:ind w:firstLine="640" w:firstLineChars="200"/>
        <w:jc w:val="both"/>
        <w:outlineLvl w:val="1"/>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color w:val="auto"/>
          <w:sz w:val="32"/>
          <w:szCs w:val="32"/>
        </w:rPr>
        <w:t>（四）配合单位：</w:t>
      </w:r>
      <w:r>
        <w:rPr>
          <w:rFonts w:hint="default" w:ascii="Times New Roman" w:hAnsi="Times New Roman" w:eastAsia="仿宋_GB2312" w:cs="Times New Roman"/>
          <w:kern w:val="2"/>
          <w:sz w:val="32"/>
          <w:szCs w:val="32"/>
          <w:highlight w:val="none"/>
          <w:lang w:val="en-US" w:eastAsia="zh-CN" w:bidi="ar-SA"/>
        </w:rPr>
        <w:t>自治区发展改革、财政厅、公安厅，广西税务局</w:t>
      </w:r>
    </w:p>
    <w:p w14:paraId="3DBF3FFA">
      <w:pPr>
        <w:overflowPunct w:val="0"/>
        <w:adjustRightInd w:val="0"/>
        <w:snapToGrid w:val="0"/>
        <w:spacing w:line="600" w:lineRule="exact"/>
        <w:ind w:firstLine="640" w:firstLineChars="200"/>
        <w:jc w:val="both"/>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（五）涉及事项：</w:t>
      </w:r>
    </w:p>
    <w:p w14:paraId="21001E3C">
      <w:pPr>
        <w:overflowPunct w:val="0"/>
        <w:adjustRightInd w:val="0"/>
        <w:snapToGrid w:val="0"/>
        <w:spacing w:line="600" w:lineRule="exact"/>
        <w:ind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1.家电以旧换新和手机、平板、智能手表（手环）购新补贴资格校验</w:t>
      </w:r>
    </w:p>
    <w:p w14:paraId="62B5E3BB">
      <w:pPr>
        <w:overflowPunct w:val="0"/>
        <w:adjustRightInd w:val="0"/>
        <w:snapToGrid w:val="0"/>
        <w:spacing w:line="600" w:lineRule="exact"/>
        <w:ind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2.家电以旧换新和手机、平板、智能手表（手环）购新补贴核销数据归集</w:t>
      </w:r>
    </w:p>
    <w:p w14:paraId="4D97249D">
      <w:pPr>
        <w:overflowPunct w:val="0"/>
        <w:adjustRightInd w:val="0"/>
        <w:snapToGrid w:val="0"/>
        <w:spacing w:line="600" w:lineRule="exact"/>
        <w:ind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3.发票核验</w:t>
      </w:r>
    </w:p>
    <w:p w14:paraId="37039A0A">
      <w:pPr>
        <w:overflowPunct w:val="0"/>
        <w:adjustRightInd w:val="0"/>
        <w:snapToGrid w:val="0"/>
        <w:spacing w:line="600" w:lineRule="exact"/>
        <w:ind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4.个人身份信息核验</w:t>
      </w:r>
    </w:p>
    <w:p w14:paraId="0726E446">
      <w:pPr>
        <w:overflowPunct w:val="0"/>
        <w:adjustRightInd w:val="0"/>
        <w:snapToGrid w:val="0"/>
        <w:spacing w:line="600" w:lineRule="exact"/>
        <w:ind w:firstLine="640" w:firstLineChars="200"/>
        <w:jc w:val="both"/>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kern w:val="2"/>
          <w:sz w:val="32"/>
          <w:szCs w:val="32"/>
          <w:highlight w:val="none"/>
          <w:lang w:val="en-US" w:eastAsia="zh-CN" w:bidi="ar-SA"/>
        </w:rPr>
        <w:t>（六）办理形式：</w:t>
      </w:r>
      <w:bookmarkStart w:id="0" w:name="OLE_LINK2"/>
      <w:r>
        <w:rPr>
          <w:rFonts w:hint="default" w:ascii="Times New Roman" w:hAnsi="Times New Roman" w:eastAsia="仿宋_GB2312" w:cs="Times New Roman"/>
          <w:kern w:val="2"/>
          <w:sz w:val="32"/>
          <w:szCs w:val="32"/>
          <w:highlight w:val="none"/>
          <w:lang w:val="en-US" w:eastAsia="zh-CN" w:bidi="ar-SA"/>
        </w:rPr>
        <w:t>消费者</w:t>
      </w:r>
      <w:r>
        <w:rPr>
          <w:rFonts w:hint="default" w:ascii="Times New Roman" w:hAnsi="Times New Roman" w:eastAsia="仿宋_GB2312" w:cs="Times New Roman"/>
          <w:color w:val="auto"/>
          <w:sz w:val="32"/>
          <w:szCs w:val="32"/>
        </w:rPr>
        <w:t>免申即享、直接购买</w:t>
      </w:r>
      <w:bookmarkEnd w:id="0"/>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移</w:t>
      </w:r>
      <w:r>
        <w:rPr>
          <w:rFonts w:hint="default" w:ascii="Times New Roman" w:hAnsi="Times New Roman" w:eastAsia="仿宋_GB2312" w:cs="Times New Roman"/>
          <w:color w:val="auto"/>
          <w:sz w:val="32"/>
          <w:szCs w:val="32"/>
          <w:lang w:eastAsia="zh-CN"/>
        </w:rPr>
        <w:t>线上领取补贴资格、</w:t>
      </w:r>
      <w:r>
        <w:rPr>
          <w:rFonts w:hint="default" w:ascii="Times New Roman" w:hAnsi="Times New Roman" w:eastAsia="仿宋_GB2312" w:cs="Times New Roman"/>
          <w:color w:val="auto"/>
          <w:sz w:val="32"/>
          <w:szCs w:val="32"/>
        </w:rPr>
        <w:t>线下在参与活动企业（商户）购买符合条件的产品</w:t>
      </w:r>
      <w:r>
        <w:rPr>
          <w:rFonts w:hint="default" w:ascii="Times New Roman" w:hAnsi="Times New Roman" w:eastAsia="仿宋_GB2312" w:cs="Times New Roman"/>
          <w:color w:val="auto"/>
          <w:sz w:val="32"/>
          <w:szCs w:val="32"/>
          <w:lang w:eastAsia="zh-CN"/>
        </w:rPr>
        <w:t>实时核销</w:t>
      </w:r>
      <w:r>
        <w:rPr>
          <w:rFonts w:hint="default" w:ascii="Times New Roman" w:hAnsi="Times New Roman" w:eastAsia="仿宋_GB2312" w:cs="Times New Roman"/>
          <w:color w:val="auto"/>
          <w:sz w:val="32"/>
          <w:szCs w:val="32"/>
        </w:rPr>
        <w:t>。</w:t>
      </w:r>
    </w:p>
    <w:p w14:paraId="5537BC45">
      <w:pPr>
        <w:overflowPunct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）承诺审批</w:t>
      </w:r>
      <w:r>
        <w:rPr>
          <w:rFonts w:hint="default" w:ascii="Times New Roman" w:hAnsi="Times New Roman" w:eastAsia="仿宋_GB2312" w:cs="Times New Roman"/>
          <w:color w:val="auto"/>
          <w:sz w:val="32"/>
          <w:szCs w:val="32"/>
          <w:lang w:eastAsia="zh-CN"/>
        </w:rPr>
        <w:t>（市级审核）</w:t>
      </w:r>
      <w:r>
        <w:rPr>
          <w:rFonts w:hint="default" w:ascii="Times New Roman" w:hAnsi="Times New Roman" w:eastAsia="仿宋_GB2312" w:cs="Times New Roman"/>
          <w:color w:val="auto"/>
          <w:sz w:val="32"/>
          <w:szCs w:val="32"/>
        </w:rPr>
        <w:t>时限：</w:t>
      </w:r>
      <w:r>
        <w:rPr>
          <w:rFonts w:hint="default" w:ascii="Times New Roman" w:hAnsi="Times New Roman" w:eastAsia="仿宋_GB2312" w:cs="Times New Roman"/>
          <w:color w:val="auto"/>
          <w:sz w:val="32"/>
          <w:szCs w:val="32"/>
          <w:lang w:eastAsia="zh-CN"/>
        </w:rPr>
        <w:t>即时</w:t>
      </w:r>
    </w:p>
    <w:p w14:paraId="5EB81AAA">
      <w:pPr>
        <w:overflowPunct w:val="0"/>
        <w:adjustRightInd w:val="0"/>
        <w:snapToGrid w:val="0"/>
        <w:spacing w:line="600" w:lineRule="exact"/>
        <w:ind w:firstLine="640" w:firstLineChars="200"/>
        <w:jc w:val="both"/>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八</w:t>
      </w:r>
      <w:r>
        <w:rPr>
          <w:rFonts w:hint="default" w:ascii="Times New Roman" w:hAnsi="Times New Roman" w:eastAsia="仿宋_GB2312" w:cs="Times New Roman"/>
          <w:color w:val="auto"/>
          <w:spacing w:val="0"/>
          <w:sz w:val="32"/>
          <w:szCs w:val="32"/>
        </w:rPr>
        <w:t>）审批服务层级：市</w:t>
      </w:r>
      <w:r>
        <w:rPr>
          <w:rFonts w:hint="default" w:ascii="Times New Roman" w:hAnsi="Times New Roman" w:eastAsia="仿宋_GB2312" w:cs="Times New Roman"/>
          <w:color w:val="auto"/>
          <w:spacing w:val="0"/>
          <w:sz w:val="32"/>
          <w:szCs w:val="32"/>
          <w:lang w:eastAsia="zh-CN"/>
        </w:rPr>
        <w:t>级；</w:t>
      </w:r>
      <w:r>
        <w:rPr>
          <w:rFonts w:hint="default" w:ascii="Times New Roman" w:hAnsi="Times New Roman" w:eastAsia="仿宋_GB2312" w:cs="Times New Roman"/>
          <w:color w:val="auto"/>
          <w:spacing w:val="0"/>
          <w:sz w:val="32"/>
          <w:szCs w:val="32"/>
        </w:rPr>
        <w:t>县（市、区）级（</w:t>
      </w:r>
      <w:r>
        <w:rPr>
          <w:rFonts w:hint="default" w:ascii="Times New Roman" w:hAnsi="Times New Roman" w:eastAsia="仿宋_GB2312" w:cs="Times New Roman"/>
          <w:color w:val="auto"/>
          <w:spacing w:val="0"/>
          <w:sz w:val="32"/>
          <w:szCs w:val="32"/>
          <w:lang w:eastAsia="zh-CN"/>
        </w:rPr>
        <w:t>提供咨询服务</w:t>
      </w:r>
      <w:r>
        <w:rPr>
          <w:rFonts w:hint="default" w:ascii="Times New Roman" w:hAnsi="Times New Roman" w:eastAsia="仿宋_GB2312" w:cs="Times New Roman"/>
          <w:color w:val="auto"/>
          <w:spacing w:val="0"/>
          <w:sz w:val="32"/>
          <w:szCs w:val="32"/>
        </w:rPr>
        <w:t>）</w:t>
      </w:r>
    </w:p>
    <w:p w14:paraId="1FC4AD88">
      <w:pPr>
        <w:overflowPunct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）是否收费：否</w:t>
      </w:r>
    </w:p>
    <w:p w14:paraId="61AB2F70">
      <w:pPr>
        <w:overflowPunct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（十）中介服务事项名称：无</w:t>
      </w:r>
    </w:p>
    <w:p w14:paraId="03DCABC7">
      <w:pPr>
        <w:overflowPunct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）是否需要勘验、组织听证、专家评审、检测：否</w:t>
      </w:r>
    </w:p>
    <w:p w14:paraId="59514C83">
      <w:pPr>
        <w:overflowPunct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）审批机关是否委托服务机构开展技术性服务：否</w:t>
      </w:r>
    </w:p>
    <w:p w14:paraId="2DA6E76B">
      <w:pPr>
        <w:overflowPunct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）是否实行告知承诺办理：否</w:t>
      </w:r>
    </w:p>
    <w:p w14:paraId="585E0D65">
      <w:pPr>
        <w:overflowPunct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）是否实行容缺受理：否</w:t>
      </w:r>
    </w:p>
    <w:p w14:paraId="797156D9">
      <w:pPr>
        <w:overflowPunct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rPr>
        <w:t>（十</w:t>
      </w:r>
      <w:r>
        <w:rPr>
          <w:rFonts w:hint="default" w:ascii="Times New Roman" w:hAnsi="Times New Roman" w:eastAsia="仿宋_GB2312" w:cs="Times New Roman"/>
          <w:color w:val="auto"/>
          <w:sz w:val="32"/>
          <w:lang w:eastAsia="zh-CN"/>
        </w:rPr>
        <w:t>五</w:t>
      </w:r>
      <w:r>
        <w:rPr>
          <w:rFonts w:hint="default" w:ascii="Times New Roman" w:hAnsi="Times New Roman" w:eastAsia="仿宋_GB2312" w:cs="Times New Roman"/>
          <w:color w:val="auto"/>
          <w:sz w:val="32"/>
        </w:rPr>
        <w:t>）办理时间：</w:t>
      </w:r>
      <w:r>
        <w:rPr>
          <w:rFonts w:hint="default" w:ascii="Times New Roman" w:hAnsi="Times New Roman" w:eastAsia="仿宋_GB2312" w:cs="Times New Roman"/>
          <w:color w:val="auto"/>
          <w:sz w:val="32"/>
          <w:szCs w:val="32"/>
        </w:rPr>
        <w:t>2025年1月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日—12月31日</w:t>
      </w:r>
    </w:p>
    <w:p w14:paraId="355889FB">
      <w:pPr>
        <w:overflowPunct w:val="0"/>
        <w:adjustRightInd w:val="0"/>
        <w:snapToGrid w:val="0"/>
        <w:spacing w:line="600" w:lineRule="exact"/>
        <w:ind w:firstLine="643"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eastAsia="zh-CN"/>
        </w:rPr>
        <w:t>线上：</w:t>
      </w:r>
      <w:r>
        <w:rPr>
          <w:rFonts w:hint="default" w:ascii="Times New Roman" w:hAnsi="Times New Roman" w:eastAsia="仿宋_GB2312" w:cs="Times New Roman"/>
          <w:color w:val="auto"/>
          <w:sz w:val="32"/>
          <w:szCs w:val="32"/>
        </w:rPr>
        <w:t>每天</w:t>
      </w:r>
      <w:r>
        <w:rPr>
          <w:rFonts w:hint="default" w:ascii="Times New Roman" w:hAnsi="Times New Roman" w:eastAsia="仿宋_GB2312" w:cs="Times New Roman"/>
          <w:color w:val="auto"/>
          <w:sz w:val="32"/>
          <w:szCs w:val="32"/>
          <w:lang w:val="en-US" w:eastAsia="zh-CN"/>
        </w:rPr>
        <w:t>00</w:t>
      </w:r>
      <w:r>
        <w:rPr>
          <w:rFonts w:hint="default" w:ascii="Times New Roman" w:hAnsi="Times New Roman" w:eastAsia="仿宋_GB2312" w:cs="Times New Roman"/>
          <w:color w:val="auto"/>
          <w:sz w:val="32"/>
          <w:szCs w:val="32"/>
        </w:rPr>
        <w:t>:00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23:</w:t>
      </w:r>
      <w:r>
        <w:rPr>
          <w:rFonts w:hint="default" w:ascii="Times New Roman" w:hAnsi="Times New Roman" w:eastAsia="仿宋_GB2312" w:cs="Times New Roman"/>
          <w:color w:val="auto"/>
          <w:sz w:val="32"/>
          <w:szCs w:val="32"/>
          <w:lang w:val="en-US" w:eastAsia="zh-CN"/>
        </w:rPr>
        <w:t>59</w:t>
      </w:r>
    </w:p>
    <w:p w14:paraId="52F5AE0B">
      <w:pPr>
        <w:overflowPunct w:val="0"/>
        <w:adjustRightInd w:val="0"/>
        <w:snapToGrid w:val="0"/>
        <w:spacing w:line="600" w:lineRule="exact"/>
        <w:ind w:left="0" w:leftChars="0" w:firstLine="643"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b/>
          <w:bCs/>
          <w:color w:val="auto"/>
          <w:kern w:val="2"/>
          <w:sz w:val="32"/>
          <w:szCs w:val="32"/>
        </w:rPr>
        <w:t>线下：</w:t>
      </w:r>
      <w:r>
        <w:rPr>
          <w:rFonts w:hint="default" w:ascii="Times New Roman" w:hAnsi="Times New Roman" w:eastAsia="仿宋_GB2312" w:cs="Times New Roman"/>
          <w:color w:val="auto"/>
          <w:sz w:val="32"/>
          <w:szCs w:val="32"/>
          <w:lang w:val="en-US" w:eastAsia="zh-CN"/>
        </w:rPr>
        <w:t>无</w:t>
      </w:r>
    </w:p>
    <w:p w14:paraId="6072C805">
      <w:pPr>
        <w:overflowPunct w:val="0"/>
        <w:adjustRightInd w:val="0"/>
        <w:snapToGrid w:val="0"/>
        <w:spacing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sz w:val="32"/>
        </w:rPr>
        <w:t>（十</w:t>
      </w:r>
      <w:r>
        <w:rPr>
          <w:rFonts w:hint="default" w:ascii="Times New Roman" w:hAnsi="Times New Roman" w:eastAsia="仿宋_GB2312" w:cs="Times New Roman"/>
          <w:color w:val="auto"/>
          <w:sz w:val="32"/>
          <w:lang w:eastAsia="zh-CN"/>
        </w:rPr>
        <w:t>六</w:t>
      </w:r>
      <w:r>
        <w:rPr>
          <w:rFonts w:hint="default" w:ascii="Times New Roman" w:hAnsi="Times New Roman" w:eastAsia="仿宋_GB2312" w:cs="Times New Roman"/>
          <w:color w:val="auto"/>
          <w:sz w:val="32"/>
        </w:rPr>
        <w:t>）办理地址：</w:t>
      </w:r>
    </w:p>
    <w:p w14:paraId="1D78CB3D">
      <w:pPr>
        <w:overflowPunct w:val="0"/>
        <w:adjustRightInd w:val="0"/>
        <w:snapToGrid w:val="0"/>
        <w:spacing w:line="600" w:lineRule="exact"/>
        <w:ind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sz w:val="32"/>
        </w:rPr>
        <w:t>线上：</w:t>
      </w:r>
      <w:r>
        <w:rPr>
          <w:rFonts w:hint="default" w:ascii="Times New Roman" w:hAnsi="Times New Roman" w:eastAsia="仿宋_GB2312" w:cs="Times New Roman"/>
          <w:color w:val="auto"/>
          <w:kern w:val="2"/>
          <w:sz w:val="32"/>
          <w:szCs w:val="32"/>
          <w:lang w:val="en-US" w:eastAsia="zh-CN"/>
        </w:rPr>
        <w:t>云闪付APP平台</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广西消费券</w:t>
      </w:r>
      <w:r>
        <w:rPr>
          <w:rFonts w:hint="default" w:ascii="Times New Roman" w:hAnsi="Times New Roman" w:eastAsia="仿宋_GB2312" w:cs="Times New Roman"/>
          <w:color w:val="auto"/>
          <w:kern w:val="2"/>
          <w:sz w:val="32"/>
          <w:szCs w:val="32"/>
        </w:rPr>
        <w:t>”专区（手机登录）</w:t>
      </w:r>
    </w:p>
    <w:p w14:paraId="197FAA1D">
      <w:pPr>
        <w:overflowPunct w:val="0"/>
        <w:adjustRightInd w:val="0"/>
        <w:snapToGrid w:val="0"/>
        <w:spacing w:line="600" w:lineRule="exact"/>
        <w:ind w:left="0" w:leftChars="0" w:firstLine="643" w:firstLineChars="200"/>
        <w:jc w:val="both"/>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b/>
          <w:bCs/>
          <w:color w:val="auto"/>
          <w:sz w:val="32"/>
        </w:rPr>
        <w:t>线下：</w:t>
      </w:r>
      <w:r>
        <w:rPr>
          <w:rFonts w:hint="default" w:ascii="Times New Roman" w:hAnsi="Times New Roman" w:eastAsia="仿宋_GB2312" w:cs="Times New Roman"/>
          <w:color w:val="auto"/>
          <w:sz w:val="32"/>
          <w:szCs w:val="32"/>
          <w:lang w:eastAsia="zh-CN"/>
        </w:rPr>
        <w:t>无</w:t>
      </w:r>
    </w:p>
    <w:p w14:paraId="335E746F">
      <w:pPr>
        <w:overflowPunct w:val="0"/>
        <w:adjustRightInd w:val="0"/>
        <w:snapToGrid w:val="0"/>
        <w:spacing w:line="600" w:lineRule="exact"/>
        <w:ind w:firstLine="640" w:firstLineChars="200"/>
        <w:jc w:val="both"/>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二、设定和实施依据</w:t>
      </w:r>
    </w:p>
    <w:p w14:paraId="2F82BFB9">
      <w:pPr>
        <w:overflowPunct w:val="0"/>
        <w:adjustRightInd w:val="0"/>
        <w:snapToGrid w:val="0"/>
        <w:spacing w:line="600" w:lineRule="exact"/>
        <w:ind w:firstLine="640" w:firstLineChars="200"/>
        <w:jc w:val="both"/>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（一）《推动大规模设备更新和消费品以旧换新行动方案》（国发〔2024〕7号）</w:t>
      </w:r>
    </w:p>
    <w:p w14:paraId="73A5DE87">
      <w:pPr>
        <w:overflowPunct w:val="0"/>
        <w:adjustRightInd w:val="0"/>
        <w:snapToGrid w:val="0"/>
        <w:spacing w:line="600" w:lineRule="exact"/>
        <w:ind w:firstLine="640" w:firstLineChars="200"/>
        <w:jc w:val="both"/>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（二）《国家发展改革委 财政部关于2025年加力扩围实施大规模设备更新和消费品以旧换新政策的通知》（发改环资〔2025〕13号）</w:t>
      </w:r>
    </w:p>
    <w:p w14:paraId="31FC66CA">
      <w:pPr>
        <w:overflowPunct w:val="0"/>
        <w:adjustRightInd w:val="0"/>
        <w:snapToGrid w:val="0"/>
        <w:spacing w:line="600" w:lineRule="exact"/>
        <w:ind w:firstLine="640" w:firstLineChars="200"/>
        <w:jc w:val="both"/>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（三）《商务部等4部门办公厅关于做好2025年家电以旧换新工作的通知》（商办流通函〔2025〕6号）</w:t>
      </w:r>
    </w:p>
    <w:p w14:paraId="0BED204B">
      <w:pPr>
        <w:overflowPunct w:val="0"/>
        <w:adjustRightInd w:val="0"/>
        <w:snapToGrid w:val="0"/>
        <w:spacing w:line="600" w:lineRule="exact"/>
        <w:ind w:firstLine="640" w:firstLineChars="200"/>
        <w:jc w:val="both"/>
        <w:outlineLvl w:val="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（四）《商务部等5部门办公厅关于印发〈手机、平板、智能手表（手环）购新补贴实施方案〉的通知》（商办流通函2025年</w:t>
      </w:r>
      <w:r>
        <w:rPr>
          <w:rFonts w:hint="default" w:ascii="Times New Roman" w:hAnsi="Times New Roman" w:eastAsia="仿宋_GB2312" w:cs="Times New Roman"/>
          <w:b w:val="0"/>
          <w:bCs w:val="0"/>
          <w:color w:val="auto"/>
          <w:sz w:val="32"/>
          <w:szCs w:val="32"/>
        </w:rPr>
        <w:t>第7号）</w:t>
      </w:r>
    </w:p>
    <w:p w14:paraId="4510B58D">
      <w:pPr>
        <w:overflowPunct w:val="0"/>
        <w:adjustRightInd w:val="0"/>
        <w:snapToGrid w:val="0"/>
        <w:spacing w:line="600" w:lineRule="exact"/>
        <w:ind w:firstLine="640" w:firstLineChars="200"/>
        <w:jc w:val="both"/>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三、办理条件</w:t>
      </w:r>
    </w:p>
    <w:p w14:paraId="3EC4EF69">
      <w:pPr>
        <w:spacing w:line="600" w:lineRule="exact"/>
        <w:ind w:firstLine="643" w:firstLineChars="200"/>
        <w:jc w:val="both"/>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（一）补贴范围</w:t>
      </w:r>
    </w:p>
    <w:p w14:paraId="7CCC4D54">
      <w:pPr>
        <w:spacing w:line="600" w:lineRule="exact"/>
        <w:ind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1.家电产品：</w:t>
      </w:r>
      <w:r>
        <w:rPr>
          <w:rFonts w:hint="default" w:ascii="Times New Roman" w:hAnsi="Times New Roman" w:eastAsia="仿宋_GB2312" w:cs="Times New Roman"/>
          <w:color w:val="auto"/>
          <w:sz w:val="32"/>
          <w:szCs w:val="32"/>
        </w:rPr>
        <w:t>家电包括电冰箱、洗衣机、电视机、空调、</w:t>
      </w:r>
      <w:r>
        <w:rPr>
          <w:rFonts w:hint="default" w:ascii="Times New Roman" w:hAnsi="Times New Roman" w:eastAsia="仿宋_GB2312" w:cs="Times New Roman"/>
          <w:color w:val="auto"/>
          <w:sz w:val="32"/>
          <w:szCs w:val="32"/>
          <w:lang w:val="en-US" w:eastAsia="zh-CN"/>
        </w:rPr>
        <w:t>微波炉、洗碗机、电脑、热水器、家用灶具、吸油烟机、净水器、电饭煲、蒸烤一体机、智能马桶、消毒柜、电风扇、破壁机、智能门锁、智能马桶、扫地机器人、吸尘器、除湿机、空气净化器、电暖气、电烤炉</w:t>
      </w:r>
      <w:r>
        <w:rPr>
          <w:rFonts w:hint="default" w:ascii="Times New Roman" w:hAnsi="Times New Roman" w:eastAsia="仿宋_GB2312" w:cs="Times New Roman"/>
          <w:color w:val="auto"/>
          <w:sz w:val="32"/>
          <w:szCs w:val="32"/>
        </w:rPr>
        <w:t>。</w:t>
      </w:r>
    </w:p>
    <w:p w14:paraId="340F4A0C">
      <w:pPr>
        <w:spacing w:line="600" w:lineRule="exact"/>
        <w:ind w:firstLine="643"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2.3C数码产品：</w:t>
      </w:r>
      <w:r>
        <w:rPr>
          <w:rFonts w:hint="default" w:ascii="Times New Roman" w:hAnsi="Times New Roman" w:eastAsia="仿宋_GB2312" w:cs="Times New Roman"/>
          <w:color w:val="auto"/>
          <w:sz w:val="32"/>
          <w:szCs w:val="32"/>
          <w:lang w:val="en-US" w:eastAsia="zh-CN"/>
        </w:rPr>
        <w:t>手机、平板、智能手表（手环）</w:t>
      </w:r>
      <w:r>
        <w:rPr>
          <w:rFonts w:hint="default" w:ascii="Times New Roman" w:hAnsi="Times New Roman" w:eastAsia="仿宋_GB2312" w:cs="Times New Roman"/>
          <w:color w:val="auto"/>
          <w:sz w:val="32"/>
          <w:szCs w:val="32"/>
          <w:lang w:eastAsia="zh-CN"/>
        </w:rPr>
        <w:t>。</w:t>
      </w:r>
    </w:p>
    <w:p w14:paraId="287FA6D0">
      <w:pPr>
        <w:spacing w:line="600" w:lineRule="exact"/>
        <w:ind w:firstLine="643" w:firstLineChars="200"/>
        <w:jc w:val="both"/>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（二）补贴标准</w:t>
      </w:r>
    </w:p>
    <w:p w14:paraId="5E9A470E">
      <w:pPr>
        <w:spacing w:line="600" w:lineRule="exact"/>
        <w:ind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1.家电以旧换新：</w:t>
      </w:r>
      <w:r>
        <w:rPr>
          <w:rFonts w:hint="default" w:ascii="Times New Roman" w:hAnsi="Times New Roman" w:eastAsia="仿宋_GB2312" w:cs="Times New Roman"/>
          <w:color w:val="auto"/>
          <w:sz w:val="32"/>
          <w:szCs w:val="32"/>
        </w:rPr>
        <w:t>个人消费者购买2级及以</w:t>
      </w:r>
      <w:r>
        <w:rPr>
          <w:rFonts w:hint="default" w:ascii="Times New Roman" w:hAnsi="Times New Roman" w:eastAsia="仿宋_GB2312" w:cs="Times New Roman"/>
          <w:color w:val="auto"/>
          <w:sz w:val="32"/>
          <w:szCs w:val="32"/>
          <w:lang w:val="en-US" w:eastAsia="zh-CN"/>
        </w:rPr>
        <w:t>上</w:t>
      </w:r>
      <w:r>
        <w:rPr>
          <w:rFonts w:hint="default" w:ascii="Times New Roman" w:hAnsi="Times New Roman" w:eastAsia="仿宋_GB2312" w:cs="Times New Roman"/>
          <w:color w:val="auto"/>
          <w:sz w:val="32"/>
          <w:szCs w:val="32"/>
        </w:rPr>
        <w:t>能效或水效标准</w:t>
      </w:r>
      <w:r>
        <w:rPr>
          <w:rFonts w:hint="default" w:ascii="Times New Roman" w:hAnsi="Times New Roman" w:eastAsia="仿宋_GB2312" w:cs="Times New Roman"/>
          <w:color w:val="auto"/>
          <w:sz w:val="32"/>
          <w:szCs w:val="32"/>
          <w:lang w:val="en-US" w:eastAsia="zh-CN"/>
        </w:rPr>
        <w:t>的家电产品</w:t>
      </w:r>
      <w:r>
        <w:rPr>
          <w:rFonts w:hint="default" w:ascii="Times New Roman" w:hAnsi="Times New Roman" w:eastAsia="仿宋_GB2312" w:cs="Times New Roman"/>
          <w:color w:val="auto"/>
          <w:sz w:val="32"/>
          <w:szCs w:val="32"/>
        </w:rPr>
        <w:t>，对个人消费者购买二级能效或水效的上述产品，按照产品销售价格的15%享受一次性立减补贴</w:t>
      </w:r>
      <w:r>
        <w:rPr>
          <w:rFonts w:hint="eastAsia" w:ascii="Times New Roman" w:cs="Times New Roman"/>
          <w:color w:val="auto"/>
          <w:sz w:val="32"/>
          <w:szCs w:val="32"/>
          <w:lang w:eastAsia="zh-CN"/>
        </w:rPr>
        <w:t>；</w:t>
      </w:r>
      <w:r>
        <w:rPr>
          <w:rFonts w:hint="default" w:ascii="Times New Roman" w:hAnsi="Times New Roman" w:eastAsia="仿宋_GB2312" w:cs="Times New Roman"/>
          <w:color w:val="auto"/>
          <w:sz w:val="32"/>
          <w:szCs w:val="32"/>
        </w:rPr>
        <w:t>对购买一级能效或水效的产品，额外再给予产品销售价格5%的补贴。每位消费者每类产品可补贴1件</w:t>
      </w:r>
      <w:r>
        <w:rPr>
          <w:rFonts w:hint="eastAsia" w:ascii="Times New Roman" w:cs="Times New Roman"/>
          <w:color w:val="auto"/>
          <w:sz w:val="32"/>
          <w:szCs w:val="32"/>
          <w:lang w:eastAsia="zh-CN"/>
        </w:rPr>
        <w:t>（</w:t>
      </w:r>
      <w:r>
        <w:rPr>
          <w:rFonts w:hint="default" w:ascii="Times New Roman" w:hAnsi="Times New Roman" w:eastAsia="仿宋_GB2312" w:cs="Times New Roman"/>
          <w:color w:val="auto"/>
          <w:sz w:val="32"/>
          <w:szCs w:val="32"/>
        </w:rPr>
        <w:t>空调产品最多可补贴3件</w:t>
      </w:r>
      <w:r>
        <w:rPr>
          <w:rFonts w:hint="eastAsia" w:ascii="Times New Roman" w:cs="Times New Roman"/>
          <w:color w:val="auto"/>
          <w:sz w:val="32"/>
          <w:szCs w:val="32"/>
          <w:lang w:eastAsia="zh-CN"/>
        </w:rPr>
        <w:t>）</w:t>
      </w:r>
      <w:r>
        <w:rPr>
          <w:rFonts w:hint="default" w:ascii="Times New Roman" w:hAnsi="Times New Roman" w:eastAsia="仿宋_GB2312" w:cs="Times New Roman"/>
          <w:color w:val="auto"/>
          <w:sz w:val="32"/>
          <w:szCs w:val="32"/>
        </w:rPr>
        <w:t>，每件补贴不超过2000元。</w:t>
      </w:r>
    </w:p>
    <w:p w14:paraId="6F51B70B">
      <w:pPr>
        <w:spacing w:line="600"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kern w:val="2"/>
          <w:sz w:val="32"/>
          <w:szCs w:val="32"/>
          <w:lang w:val="en-US" w:eastAsia="zh-CN"/>
        </w:rPr>
        <w:t>2.3C数码购新：</w:t>
      </w:r>
      <w:r>
        <w:rPr>
          <w:rFonts w:hint="default" w:ascii="Times New Roman" w:hAnsi="Times New Roman" w:eastAsia="仿宋_GB2312" w:cs="Times New Roman"/>
          <w:color w:val="auto"/>
          <w:kern w:val="2"/>
          <w:sz w:val="32"/>
          <w:szCs w:val="32"/>
        </w:rPr>
        <w:t>活动期间，对个人消费者购买手机、平板、智能手表</w:t>
      </w:r>
      <w:r>
        <w:rPr>
          <w:rFonts w:hint="eastAsia" w:ascii="Times New Roman" w:cs="Times New Roman"/>
          <w:color w:val="auto"/>
          <w:kern w:val="2"/>
          <w:sz w:val="32"/>
          <w:szCs w:val="32"/>
          <w:lang w:eastAsia="zh-CN"/>
        </w:rPr>
        <w:t>（</w:t>
      </w:r>
      <w:r>
        <w:rPr>
          <w:rFonts w:hint="default" w:ascii="Times New Roman" w:hAnsi="Times New Roman" w:eastAsia="仿宋_GB2312" w:cs="Times New Roman"/>
          <w:color w:val="auto"/>
          <w:kern w:val="2"/>
          <w:sz w:val="32"/>
          <w:szCs w:val="32"/>
        </w:rPr>
        <w:t>手环</w:t>
      </w:r>
      <w:r>
        <w:rPr>
          <w:rFonts w:hint="eastAsia" w:ascii="Times New Roman" w:cs="Times New Roman"/>
          <w:color w:val="auto"/>
          <w:kern w:val="2"/>
          <w:sz w:val="32"/>
          <w:szCs w:val="32"/>
          <w:lang w:eastAsia="zh-CN"/>
        </w:rPr>
        <w:t>）</w:t>
      </w:r>
      <w:r>
        <w:rPr>
          <w:rFonts w:hint="default" w:ascii="Times New Roman" w:hAnsi="Times New Roman" w:eastAsia="仿宋_GB2312" w:cs="Times New Roman"/>
          <w:color w:val="auto"/>
          <w:kern w:val="2"/>
          <w:sz w:val="32"/>
          <w:szCs w:val="32"/>
        </w:rPr>
        <w:t>3类数码产品</w:t>
      </w:r>
      <w:r>
        <w:rPr>
          <w:rFonts w:hint="eastAsia" w:ascii="Times New Roman"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单件销售价格不超过6000元</w:t>
      </w:r>
      <w:r>
        <w:rPr>
          <w:rFonts w:hint="eastAsia" w:ascii="Times New Roman"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，可享受购新补贴。每人每类可补贴1件，每件补贴比例为减去生产、流通环节及移动运营商所有优惠后最终销售价格的15%,每件最高不超过500元。</w:t>
      </w:r>
    </w:p>
    <w:p w14:paraId="59334F08">
      <w:pPr>
        <w:overflowPunct w:val="0"/>
        <w:adjustRightInd w:val="0"/>
        <w:snapToGrid w:val="0"/>
        <w:spacing w:line="600" w:lineRule="exact"/>
        <w:ind w:firstLine="640" w:firstLineChars="200"/>
        <w:jc w:val="both"/>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四、申请材料</w:t>
      </w:r>
    </w:p>
    <w:tbl>
      <w:tblPr>
        <w:tblStyle w:val="6"/>
        <w:tblW w:w="4997" w:type="pct"/>
        <w:jc w:val="center"/>
        <w:tblLayout w:type="autofit"/>
        <w:tblCellMar>
          <w:top w:w="0" w:type="dxa"/>
          <w:left w:w="108" w:type="dxa"/>
          <w:bottom w:w="0" w:type="dxa"/>
          <w:right w:w="108" w:type="dxa"/>
        </w:tblCellMar>
      </w:tblPr>
      <w:tblGrid>
        <w:gridCol w:w="414"/>
        <w:gridCol w:w="1600"/>
        <w:gridCol w:w="679"/>
        <w:gridCol w:w="498"/>
        <w:gridCol w:w="643"/>
        <w:gridCol w:w="532"/>
        <w:gridCol w:w="840"/>
        <w:gridCol w:w="738"/>
        <w:gridCol w:w="933"/>
        <w:gridCol w:w="784"/>
        <w:gridCol w:w="856"/>
      </w:tblGrid>
      <w:tr w14:paraId="662A7839">
        <w:tblPrEx>
          <w:tblCellMar>
            <w:top w:w="0" w:type="dxa"/>
            <w:left w:w="108" w:type="dxa"/>
            <w:bottom w:w="0" w:type="dxa"/>
            <w:right w:w="108" w:type="dxa"/>
          </w:tblCellMar>
        </w:tblPrEx>
        <w:trPr>
          <w:trHeight w:val="1215" w:hRule="atLeast"/>
          <w:tblHeader/>
          <w:jc w:val="center"/>
        </w:trPr>
        <w:tc>
          <w:tcPr>
            <w:tcW w:w="228" w:type="pct"/>
            <w:tcBorders>
              <w:top w:val="single" w:color="000000" w:sz="4" w:space="0"/>
              <w:left w:val="single" w:color="000000" w:sz="4" w:space="0"/>
              <w:bottom w:val="single" w:color="000000" w:sz="4" w:space="0"/>
              <w:right w:val="single" w:color="000000" w:sz="4" w:space="0"/>
            </w:tcBorders>
            <w:noWrap w:val="0"/>
            <w:vAlign w:val="center"/>
          </w:tcPr>
          <w:p w14:paraId="104225D4">
            <w:pPr>
              <w:overflowPunct w:val="0"/>
              <w:adjustRightInd w:val="0"/>
              <w:snapToGrid w:val="0"/>
              <w:spacing w:line="240" w:lineRule="auto"/>
              <w:jc w:val="center"/>
              <w:textAlignment w:val="center"/>
              <w:rPr>
                <w:rFonts w:hint="default" w:ascii="Times New Roman" w:hAnsi="Times New Roman" w:eastAsia="黑体" w:cs="Times New Roman"/>
                <w:color w:val="auto"/>
                <w:spacing w:val="-6"/>
                <w:sz w:val="21"/>
                <w:szCs w:val="21"/>
              </w:rPr>
            </w:pPr>
            <w:r>
              <w:rPr>
                <w:rFonts w:hint="default" w:ascii="Times New Roman" w:hAnsi="Times New Roman" w:eastAsia="黑体" w:cs="Times New Roman"/>
                <w:color w:val="auto"/>
                <w:spacing w:val="-6"/>
                <w:kern w:val="0"/>
                <w:sz w:val="21"/>
                <w:szCs w:val="21"/>
                <w:lang w:bidi="ar"/>
              </w:rPr>
              <w:t>序号</w:t>
            </w:r>
          </w:p>
        </w:tc>
        <w:tc>
          <w:tcPr>
            <w:tcW w:w="940" w:type="pct"/>
            <w:tcBorders>
              <w:top w:val="single" w:color="000000" w:sz="4" w:space="0"/>
              <w:left w:val="single" w:color="000000" w:sz="4" w:space="0"/>
              <w:bottom w:val="single" w:color="000000" w:sz="4" w:space="0"/>
              <w:right w:val="single" w:color="000000" w:sz="4" w:space="0"/>
            </w:tcBorders>
            <w:noWrap w:val="0"/>
            <w:vAlign w:val="center"/>
          </w:tcPr>
          <w:p w14:paraId="4F439119">
            <w:pPr>
              <w:overflowPunct w:val="0"/>
              <w:adjustRightInd w:val="0"/>
              <w:snapToGrid w:val="0"/>
              <w:spacing w:line="240" w:lineRule="auto"/>
              <w:jc w:val="center"/>
              <w:textAlignment w:val="center"/>
              <w:rPr>
                <w:rFonts w:hint="default" w:ascii="Times New Roman" w:hAnsi="Times New Roman" w:eastAsia="黑体" w:cs="Times New Roman"/>
                <w:color w:val="auto"/>
                <w:spacing w:val="-6"/>
                <w:kern w:val="0"/>
                <w:sz w:val="21"/>
                <w:szCs w:val="21"/>
                <w:lang w:bidi="ar"/>
              </w:rPr>
            </w:pPr>
            <w:r>
              <w:rPr>
                <w:rFonts w:hint="default" w:ascii="Times New Roman" w:hAnsi="Times New Roman" w:eastAsia="黑体" w:cs="Times New Roman"/>
                <w:color w:val="auto"/>
                <w:spacing w:val="-6"/>
                <w:kern w:val="0"/>
                <w:sz w:val="21"/>
                <w:szCs w:val="21"/>
                <w:lang w:bidi="ar"/>
              </w:rPr>
              <w:t>材料名称</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4693196">
            <w:pPr>
              <w:overflowPunct w:val="0"/>
              <w:adjustRightInd w:val="0"/>
              <w:snapToGrid w:val="0"/>
              <w:spacing w:line="240" w:lineRule="auto"/>
              <w:jc w:val="center"/>
              <w:textAlignment w:val="center"/>
              <w:rPr>
                <w:rFonts w:hint="default" w:ascii="Times New Roman" w:hAnsi="Times New Roman" w:eastAsia="黑体" w:cs="Times New Roman"/>
                <w:color w:val="auto"/>
                <w:spacing w:val="-6"/>
                <w:sz w:val="21"/>
                <w:szCs w:val="21"/>
              </w:rPr>
            </w:pPr>
            <w:r>
              <w:rPr>
                <w:rFonts w:hint="default" w:ascii="Times New Roman" w:hAnsi="Times New Roman" w:eastAsia="黑体" w:cs="Times New Roman"/>
                <w:color w:val="auto"/>
                <w:spacing w:val="-6"/>
                <w:kern w:val="0"/>
                <w:sz w:val="21"/>
                <w:szCs w:val="21"/>
                <w:lang w:bidi="ar"/>
              </w:rPr>
              <w:t>材料类型</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769343D">
            <w:pPr>
              <w:overflowPunct w:val="0"/>
              <w:adjustRightInd w:val="0"/>
              <w:snapToGrid w:val="0"/>
              <w:spacing w:line="240" w:lineRule="auto"/>
              <w:jc w:val="center"/>
              <w:textAlignment w:val="center"/>
              <w:rPr>
                <w:rFonts w:hint="default" w:ascii="Times New Roman" w:hAnsi="Times New Roman" w:eastAsia="黑体" w:cs="Times New Roman"/>
                <w:color w:val="auto"/>
                <w:spacing w:val="-6"/>
                <w:sz w:val="21"/>
                <w:szCs w:val="21"/>
              </w:rPr>
            </w:pPr>
            <w:r>
              <w:rPr>
                <w:rFonts w:hint="default" w:ascii="Times New Roman" w:hAnsi="Times New Roman" w:eastAsia="黑体" w:cs="Times New Roman"/>
                <w:color w:val="auto"/>
                <w:spacing w:val="-6"/>
                <w:kern w:val="0"/>
                <w:sz w:val="21"/>
                <w:szCs w:val="21"/>
                <w:lang w:bidi="ar"/>
              </w:rPr>
              <w:t>材料形式</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8D0DCF2">
            <w:pPr>
              <w:overflowPunct w:val="0"/>
              <w:adjustRightInd w:val="0"/>
              <w:snapToGrid w:val="0"/>
              <w:spacing w:line="240" w:lineRule="auto"/>
              <w:jc w:val="center"/>
              <w:textAlignment w:val="center"/>
              <w:rPr>
                <w:rFonts w:hint="default" w:ascii="Times New Roman" w:hAnsi="Times New Roman" w:eastAsia="黑体" w:cs="Times New Roman"/>
                <w:color w:val="auto"/>
                <w:spacing w:val="-6"/>
                <w:sz w:val="21"/>
                <w:szCs w:val="21"/>
              </w:rPr>
            </w:pPr>
            <w:r>
              <w:rPr>
                <w:rFonts w:hint="default" w:ascii="Times New Roman" w:hAnsi="Times New Roman" w:eastAsia="黑体" w:cs="Times New Roman"/>
                <w:color w:val="auto"/>
                <w:spacing w:val="-6"/>
                <w:kern w:val="0"/>
                <w:sz w:val="21"/>
                <w:szCs w:val="21"/>
                <w:lang w:bidi="ar"/>
              </w:rPr>
              <w:t>来源渠道</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0BA30088">
            <w:pPr>
              <w:overflowPunct w:val="0"/>
              <w:adjustRightInd w:val="0"/>
              <w:snapToGrid w:val="0"/>
              <w:spacing w:line="240" w:lineRule="auto"/>
              <w:jc w:val="center"/>
              <w:textAlignment w:val="center"/>
              <w:rPr>
                <w:rFonts w:hint="default" w:ascii="Times New Roman" w:hAnsi="Times New Roman" w:eastAsia="黑体" w:cs="Times New Roman"/>
                <w:color w:val="auto"/>
                <w:spacing w:val="-6"/>
                <w:sz w:val="21"/>
                <w:szCs w:val="21"/>
              </w:rPr>
            </w:pPr>
            <w:r>
              <w:rPr>
                <w:rFonts w:hint="default" w:ascii="Times New Roman" w:hAnsi="Times New Roman" w:eastAsia="黑体" w:cs="Times New Roman"/>
                <w:color w:val="auto"/>
                <w:spacing w:val="-6"/>
                <w:kern w:val="0"/>
                <w:sz w:val="21"/>
                <w:szCs w:val="21"/>
                <w:lang w:bidi="ar"/>
              </w:rPr>
              <w:t>出具部门</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762CBDEB">
            <w:pPr>
              <w:overflowPunct w:val="0"/>
              <w:adjustRightInd w:val="0"/>
              <w:snapToGrid w:val="0"/>
              <w:spacing w:line="240" w:lineRule="auto"/>
              <w:jc w:val="center"/>
              <w:textAlignment w:val="center"/>
              <w:rPr>
                <w:rFonts w:hint="default" w:ascii="Times New Roman" w:hAnsi="Times New Roman" w:eastAsia="黑体" w:cs="Times New Roman"/>
                <w:color w:val="auto"/>
                <w:spacing w:val="-6"/>
                <w:sz w:val="21"/>
                <w:szCs w:val="21"/>
              </w:rPr>
            </w:pPr>
            <w:r>
              <w:rPr>
                <w:rFonts w:hint="default" w:ascii="Times New Roman" w:hAnsi="Times New Roman" w:eastAsia="黑体" w:cs="Times New Roman"/>
                <w:color w:val="auto"/>
                <w:spacing w:val="-6"/>
                <w:kern w:val="0"/>
                <w:sz w:val="21"/>
                <w:szCs w:val="21"/>
                <w:lang w:bidi="ar"/>
              </w:rPr>
              <w:t>纸质材料份数</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0D6536DB">
            <w:pPr>
              <w:overflowPunct w:val="0"/>
              <w:adjustRightInd w:val="0"/>
              <w:snapToGrid w:val="0"/>
              <w:spacing w:line="240" w:lineRule="auto"/>
              <w:jc w:val="center"/>
              <w:textAlignment w:val="center"/>
              <w:rPr>
                <w:rFonts w:hint="default" w:ascii="Times New Roman" w:hAnsi="Times New Roman" w:eastAsia="黑体" w:cs="Times New Roman"/>
                <w:color w:val="auto"/>
                <w:spacing w:val="-6"/>
                <w:sz w:val="21"/>
                <w:szCs w:val="21"/>
              </w:rPr>
            </w:pPr>
            <w:r>
              <w:rPr>
                <w:rFonts w:hint="default" w:ascii="Times New Roman" w:hAnsi="Times New Roman" w:eastAsia="黑体" w:cs="Times New Roman"/>
                <w:color w:val="auto"/>
                <w:spacing w:val="-6"/>
                <w:kern w:val="0"/>
                <w:sz w:val="21"/>
                <w:szCs w:val="21"/>
                <w:lang w:bidi="ar"/>
              </w:rPr>
              <w:t>材料必要性</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14:paraId="05652711">
            <w:pPr>
              <w:overflowPunct w:val="0"/>
              <w:adjustRightInd w:val="0"/>
              <w:snapToGrid w:val="0"/>
              <w:spacing w:line="240" w:lineRule="auto"/>
              <w:jc w:val="center"/>
              <w:textAlignment w:val="center"/>
              <w:rPr>
                <w:rFonts w:hint="default" w:ascii="Times New Roman" w:hAnsi="Times New Roman" w:eastAsia="黑体" w:cs="Times New Roman"/>
                <w:color w:val="auto"/>
                <w:spacing w:val="-6"/>
                <w:sz w:val="21"/>
                <w:szCs w:val="21"/>
              </w:rPr>
            </w:pPr>
            <w:r>
              <w:rPr>
                <w:rFonts w:hint="default" w:ascii="Times New Roman" w:hAnsi="Times New Roman" w:eastAsia="黑体" w:cs="Times New Roman"/>
                <w:color w:val="auto"/>
                <w:spacing w:val="-6"/>
                <w:sz w:val="21"/>
                <w:szCs w:val="21"/>
              </w:rPr>
              <w:t>涉及事项</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E23BE42">
            <w:pPr>
              <w:overflowPunct w:val="0"/>
              <w:adjustRightInd w:val="0"/>
              <w:snapToGrid w:val="0"/>
              <w:spacing w:line="240" w:lineRule="auto"/>
              <w:jc w:val="center"/>
              <w:textAlignment w:val="center"/>
              <w:rPr>
                <w:rFonts w:hint="default" w:ascii="Times New Roman" w:hAnsi="Times New Roman" w:eastAsia="黑体" w:cs="Times New Roman"/>
                <w:color w:val="auto"/>
                <w:spacing w:val="-6"/>
                <w:kern w:val="0"/>
                <w:sz w:val="21"/>
                <w:szCs w:val="21"/>
                <w:lang w:bidi="ar"/>
              </w:rPr>
            </w:pPr>
            <w:r>
              <w:rPr>
                <w:rFonts w:hint="default" w:ascii="Times New Roman" w:hAnsi="Times New Roman" w:eastAsia="黑体" w:cs="Times New Roman"/>
                <w:color w:val="auto"/>
                <w:spacing w:val="-6"/>
                <w:kern w:val="0"/>
                <w:sz w:val="21"/>
                <w:szCs w:val="21"/>
                <w:lang w:bidi="ar"/>
              </w:rPr>
              <w:t>非必要材料涉及情形</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4E296365">
            <w:pPr>
              <w:overflowPunct w:val="0"/>
              <w:adjustRightInd w:val="0"/>
              <w:snapToGrid w:val="0"/>
              <w:spacing w:line="240" w:lineRule="auto"/>
              <w:jc w:val="center"/>
              <w:textAlignment w:val="center"/>
              <w:rPr>
                <w:rFonts w:hint="default" w:ascii="Times New Roman" w:hAnsi="Times New Roman" w:eastAsia="黑体" w:cs="Times New Roman"/>
                <w:color w:val="auto"/>
                <w:spacing w:val="-6"/>
                <w:kern w:val="0"/>
                <w:sz w:val="21"/>
                <w:szCs w:val="21"/>
                <w:lang w:bidi="ar"/>
              </w:rPr>
            </w:pPr>
            <w:r>
              <w:rPr>
                <w:rFonts w:hint="default" w:ascii="Times New Roman" w:hAnsi="Times New Roman" w:eastAsia="黑体" w:cs="Times New Roman"/>
                <w:color w:val="auto"/>
                <w:spacing w:val="-6"/>
                <w:kern w:val="0"/>
                <w:sz w:val="21"/>
                <w:szCs w:val="21"/>
                <w:lang w:bidi="ar"/>
              </w:rPr>
              <w:t>备注</w:t>
            </w:r>
          </w:p>
        </w:tc>
      </w:tr>
      <w:tr w14:paraId="10CEE4D6">
        <w:tblPrEx>
          <w:tblCellMar>
            <w:top w:w="0" w:type="dxa"/>
            <w:left w:w="108" w:type="dxa"/>
            <w:bottom w:w="0" w:type="dxa"/>
            <w:right w:w="108" w:type="dxa"/>
          </w:tblCellMar>
        </w:tblPrEx>
        <w:trPr>
          <w:cantSplit/>
          <w:trHeight w:val="1594" w:hRule="atLeast"/>
          <w:jc w:val="center"/>
        </w:trPr>
        <w:tc>
          <w:tcPr>
            <w:tcW w:w="228"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6560C765">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4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72543EB4">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本人身份证</w:t>
            </w:r>
          </w:p>
        </w:tc>
        <w:tc>
          <w:tcPr>
            <w:tcW w:w="40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18F23C0D">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原件</w:t>
            </w:r>
          </w:p>
        </w:tc>
        <w:tc>
          <w:tcPr>
            <w:tcW w:w="29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2AEC80E5">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电子</w:t>
            </w:r>
          </w:p>
        </w:tc>
        <w:tc>
          <w:tcPr>
            <w:tcW w:w="37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02E8920B">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bidi="ar"/>
              </w:rPr>
              <w:t>政府部门核发</w:t>
            </w:r>
          </w:p>
        </w:tc>
        <w:tc>
          <w:tcPr>
            <w:tcW w:w="31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A66F6F0">
            <w:pPr>
              <w:overflowPunct w:val="0"/>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公安部门</w:t>
            </w:r>
          </w:p>
        </w:tc>
        <w:tc>
          <w:tcPr>
            <w:tcW w:w="49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6DE0E5BA">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0份</w:t>
            </w:r>
          </w:p>
        </w:tc>
        <w:tc>
          <w:tcPr>
            <w:tcW w:w="43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423A857B">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必要</w:t>
            </w:r>
          </w:p>
        </w:tc>
        <w:tc>
          <w:tcPr>
            <w:tcW w:w="548"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3628AD9D">
            <w:pPr>
              <w:overflowPunct w:val="0"/>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全量</w:t>
            </w:r>
          </w:p>
          <w:p w14:paraId="6C950871">
            <w:pPr>
              <w:overflowPunct w:val="0"/>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事项</w:t>
            </w:r>
          </w:p>
        </w:tc>
        <w:tc>
          <w:tcPr>
            <w:tcW w:w="46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7E857761">
            <w:pPr>
              <w:overflowPunct w:val="0"/>
              <w:adjustRightInd w:val="0"/>
              <w:snapToGrid w:val="0"/>
              <w:spacing w:line="240" w:lineRule="auto"/>
              <w:jc w:val="center"/>
              <w:rPr>
                <w:rFonts w:hint="default" w:ascii="Times New Roman" w:hAnsi="Times New Roman" w:eastAsia="宋体" w:cs="Times New Roman"/>
                <w:color w:val="auto"/>
                <w:sz w:val="21"/>
                <w:szCs w:val="21"/>
              </w:rPr>
            </w:pPr>
          </w:p>
        </w:tc>
        <w:tc>
          <w:tcPr>
            <w:tcW w:w="50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426BA694">
            <w:pPr>
              <w:overflowPunct w:val="0"/>
              <w:adjustRightInd w:val="0"/>
              <w:snapToGrid w:val="0"/>
              <w:spacing w:line="240"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可通过信息共享方式核验，无需提交</w:t>
            </w:r>
          </w:p>
        </w:tc>
      </w:tr>
      <w:tr w14:paraId="5CD10B24">
        <w:tblPrEx>
          <w:tblCellMar>
            <w:top w:w="0" w:type="dxa"/>
            <w:left w:w="108" w:type="dxa"/>
            <w:bottom w:w="0" w:type="dxa"/>
            <w:right w:w="108" w:type="dxa"/>
          </w:tblCellMar>
        </w:tblPrEx>
        <w:trPr>
          <w:cantSplit/>
          <w:trHeight w:val="1134" w:hRule="atLeast"/>
          <w:jc w:val="center"/>
        </w:trPr>
        <w:tc>
          <w:tcPr>
            <w:tcW w:w="228"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08A9F8FF">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94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1ED25D54">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本人名下</w:t>
            </w:r>
          </w:p>
          <w:p w14:paraId="14D949E0">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银行卡</w:t>
            </w:r>
          </w:p>
        </w:tc>
        <w:tc>
          <w:tcPr>
            <w:tcW w:w="40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4AEF6A47">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原件</w:t>
            </w:r>
          </w:p>
        </w:tc>
        <w:tc>
          <w:tcPr>
            <w:tcW w:w="29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095752CC">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电子</w:t>
            </w:r>
          </w:p>
        </w:tc>
        <w:tc>
          <w:tcPr>
            <w:tcW w:w="37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7F49A2F8">
            <w:pPr>
              <w:overflowPunct w:val="0"/>
              <w:adjustRightInd w:val="0"/>
              <w:snapToGrid w:val="0"/>
              <w:spacing w:line="240" w:lineRule="auto"/>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申请人自备</w:t>
            </w:r>
          </w:p>
        </w:tc>
        <w:tc>
          <w:tcPr>
            <w:tcW w:w="31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69B788CD">
            <w:pPr>
              <w:overflowPunct w:val="0"/>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9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3A54EE95">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0份</w:t>
            </w:r>
          </w:p>
        </w:tc>
        <w:tc>
          <w:tcPr>
            <w:tcW w:w="43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A610AAC">
            <w:pPr>
              <w:overflowPunct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必要</w:t>
            </w:r>
          </w:p>
        </w:tc>
        <w:tc>
          <w:tcPr>
            <w:tcW w:w="548"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680E6B97">
            <w:pPr>
              <w:overflowPunct w:val="0"/>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全量</w:t>
            </w:r>
          </w:p>
          <w:p w14:paraId="6877CDC4">
            <w:pPr>
              <w:overflowPunct w:val="0"/>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事项</w:t>
            </w:r>
          </w:p>
        </w:tc>
        <w:tc>
          <w:tcPr>
            <w:tcW w:w="46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0FB87158">
            <w:pPr>
              <w:overflowPunct w:val="0"/>
              <w:adjustRightInd w:val="0"/>
              <w:snapToGrid w:val="0"/>
              <w:spacing w:line="240" w:lineRule="auto"/>
              <w:jc w:val="center"/>
              <w:rPr>
                <w:rFonts w:hint="default" w:ascii="Times New Roman" w:hAnsi="Times New Roman" w:eastAsia="宋体" w:cs="Times New Roman"/>
                <w:color w:val="auto"/>
                <w:sz w:val="21"/>
                <w:szCs w:val="21"/>
              </w:rPr>
            </w:pPr>
          </w:p>
        </w:tc>
        <w:tc>
          <w:tcPr>
            <w:tcW w:w="50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3979765E">
            <w:pPr>
              <w:overflowPunct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可通过信息共享方式核验，无需提交</w:t>
            </w:r>
          </w:p>
        </w:tc>
      </w:tr>
    </w:tbl>
    <w:p w14:paraId="02AF03A3">
      <w:pPr>
        <w:pStyle w:val="9"/>
        <w:rPr>
          <w:rFonts w:hint="default" w:ascii="Times New Roman" w:hAnsi="Times New Roman" w:eastAsia="仿宋_GB2312" w:cs="Times New Roman"/>
          <w:lang w:val="en-US" w:eastAsia="zh-CN"/>
        </w:rPr>
      </w:pPr>
    </w:p>
    <w:p w14:paraId="421AF2F6">
      <w:pPr>
        <w:bidi w:val="0"/>
        <w:rPr>
          <w:rFonts w:hint="default" w:ascii="Times New Roman" w:hAnsi="Times New Roman" w:eastAsia="仿宋_GB2312" w:cs="Times New Roman"/>
          <w:kern w:val="2"/>
          <w:sz w:val="32"/>
          <w:szCs w:val="32"/>
          <w:lang w:val="en-US" w:eastAsia="zh-CN" w:bidi="ar-SA"/>
        </w:rPr>
      </w:pPr>
    </w:p>
    <w:p w14:paraId="4717BFF0">
      <w:pPr>
        <w:bidi w:val="0"/>
        <w:spacing w:line="600" w:lineRule="exact"/>
        <w:rPr>
          <w:rFonts w:hint="default" w:ascii="Times New Roman" w:hAnsi="Times New Roman" w:eastAsia="黑体" w:cs="Times New Roman"/>
          <w:kern w:val="2"/>
          <w:sz w:val="32"/>
          <w:szCs w:val="32"/>
          <w:lang w:val="en-US" w:eastAsia="zh-CN" w:bidi="ar-SA"/>
        </w:rPr>
      </w:pPr>
    </w:p>
    <w:p w14:paraId="2CD7A065">
      <w:pPr>
        <w:bidi w:val="0"/>
        <w:spacing w:line="600" w:lineRule="exact"/>
        <w:rPr>
          <w:rFonts w:hint="default" w:ascii="Times New Roman" w:hAnsi="Times New Roman" w:eastAsia="黑体" w:cs="Times New Roman"/>
          <w:kern w:val="2"/>
          <w:sz w:val="32"/>
          <w:szCs w:val="32"/>
          <w:lang w:val="en-US" w:eastAsia="zh-CN" w:bidi="ar-SA"/>
        </w:rPr>
      </w:pPr>
    </w:p>
    <w:p w14:paraId="63E2C579">
      <w:pPr>
        <w:bidi w:val="0"/>
        <w:spacing w:line="600" w:lineRule="exact"/>
        <w:rPr>
          <w:rFonts w:hint="default" w:ascii="Times New Roman" w:hAnsi="Times New Roman" w:eastAsia="黑体" w:cs="Times New Roman"/>
          <w:kern w:val="2"/>
          <w:sz w:val="32"/>
          <w:szCs w:val="32"/>
          <w:lang w:val="en-US" w:eastAsia="zh-CN" w:bidi="ar-SA"/>
        </w:rPr>
      </w:pPr>
    </w:p>
    <w:p w14:paraId="2864A20C">
      <w:pPr>
        <w:bidi w:val="0"/>
        <w:spacing w:line="600" w:lineRule="exact"/>
        <w:rPr>
          <w:rFonts w:hint="default" w:ascii="Times New Roman" w:hAnsi="Times New Roman" w:eastAsia="黑体" w:cs="Times New Roman"/>
          <w:kern w:val="2"/>
          <w:sz w:val="32"/>
          <w:szCs w:val="32"/>
          <w:lang w:val="en-US" w:eastAsia="zh-CN" w:bidi="ar-SA"/>
        </w:rPr>
      </w:pPr>
    </w:p>
    <w:p w14:paraId="03A5BEAE">
      <w:pPr>
        <w:bidi w:val="0"/>
        <w:spacing w:line="600" w:lineRule="exact"/>
        <w:rPr>
          <w:rFonts w:hint="default" w:ascii="Times New Roman" w:hAnsi="Times New Roman" w:eastAsia="黑体" w:cs="Times New Roman"/>
          <w:kern w:val="2"/>
          <w:sz w:val="32"/>
          <w:szCs w:val="32"/>
          <w:lang w:val="en-US" w:eastAsia="zh-CN" w:bidi="ar-SA"/>
        </w:rPr>
      </w:pPr>
    </w:p>
    <w:p w14:paraId="2EEEE4A9">
      <w:pPr>
        <w:bidi w:val="0"/>
        <w:spacing w:line="600" w:lineRule="exact"/>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附件2</w:t>
      </w:r>
    </w:p>
    <w:p w14:paraId="4FD76B49">
      <w:pPr>
        <w:pStyle w:val="4"/>
        <w:spacing w:before="0" w:beforeAutospacing="0" w:after="0" w:afterAutospacing="0" w:line="600" w:lineRule="exact"/>
        <w:rPr>
          <w:rFonts w:hint="default" w:ascii="Times New Roman" w:hAnsi="Times New Roman" w:cs="Times New Roman"/>
          <w:color w:val="auto"/>
          <w:kern w:val="2"/>
          <w:lang w:val="en-US" w:eastAsia="zh-CN"/>
        </w:rPr>
      </w:pPr>
    </w:p>
    <w:p w14:paraId="787736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广西家电以旧换新和手机、平板、智能手表</w:t>
      </w:r>
    </w:p>
    <w:p w14:paraId="42537A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（手环）购新补贴申请（2025年度）</w:t>
      </w:r>
    </w:p>
    <w:p w14:paraId="4A0360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“高效办成一件事”办理流程图</w:t>
      </w:r>
    </w:p>
    <w:p w14:paraId="00E8D471">
      <w:pPr>
        <w:spacing w:line="600" w:lineRule="exact"/>
        <w:rPr>
          <w:rFonts w:ascii="Times New Roman"/>
        </w:rPr>
      </w:pPr>
    </w:p>
    <w:p w14:paraId="0FB0F031">
      <w:r>
        <w:rPr>
          <w:rFonts w:ascii="Times New Roman" w:hAnsi="Times New Roman" w:eastAsia="方正黑体_GBK"/>
          <w:color w:val="auto"/>
          <w:sz w:val="32"/>
          <w:szCs w:val="32"/>
        </w:rPr>
        <w:drawing>
          <wp:inline distT="0" distB="0" distL="114300" distR="114300">
            <wp:extent cx="4885690" cy="5536565"/>
            <wp:effectExtent l="0" t="0" r="10160" b="6985"/>
            <wp:docPr id="1" name="图片 1" descr="1-选择结构流程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选择结构流程图(1)"/>
                    <pic:cNvPicPr>
                      <a:picLocks noChangeAspect="1"/>
                    </pic:cNvPicPr>
                  </pic:nvPicPr>
                  <pic:blipFill>
                    <a:blip r:embed="rId4"/>
                    <a:stretch>
                      <a:fillRect/>
                    </a:stretch>
                  </pic:blipFill>
                  <pic:spPr>
                    <a:xfrm>
                      <a:off x="0" y="0"/>
                      <a:ext cx="4885690" cy="5536565"/>
                    </a:xfrm>
                    <a:prstGeom prst="rect">
                      <a:avLst/>
                    </a:prstGeom>
                    <a:noFill/>
                    <a:ln>
                      <a:noFill/>
                    </a:ln>
                  </pic:spPr>
                </pic:pic>
              </a:graphicData>
            </a:graphic>
          </wp:inline>
        </w:drawing>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95FAA6-C8B3-46C4-88DF-7C0FBDB3A1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714FB3E-AFDD-4259-AF7C-F15CF5C22964}"/>
  </w:font>
  <w:font w:name="仿宋_GB2312">
    <w:panose1 w:val="02010609030101010101"/>
    <w:charset w:val="86"/>
    <w:family w:val="modern"/>
    <w:pitch w:val="default"/>
    <w:sig w:usb0="00000001" w:usb1="080E0000" w:usb2="00000000" w:usb3="00000000" w:csb0="00040000" w:csb1="00000000"/>
    <w:embedRegular r:id="rId3" w:fontKey="{6B48F5B9-AED6-4B25-B696-B99CCFF998B6}"/>
  </w:font>
  <w:font w:name="方正小标宋简体">
    <w:panose1 w:val="02000000000000000000"/>
    <w:charset w:val="86"/>
    <w:family w:val="script"/>
    <w:pitch w:val="default"/>
    <w:sig w:usb0="00000001" w:usb1="08000000" w:usb2="00000000" w:usb3="00000000" w:csb0="00040000" w:csb1="00000000"/>
    <w:embedRegular r:id="rId4" w:fontKey="{A9E7C80B-8380-441F-9878-B2173A47E884}"/>
  </w:font>
  <w:font w:name="楷体_GB2312">
    <w:altName w:val="楷体"/>
    <w:panose1 w:val="02010609030101010101"/>
    <w:charset w:val="86"/>
    <w:family w:val="auto"/>
    <w:pitch w:val="default"/>
    <w:sig w:usb0="00000000" w:usb1="00000000" w:usb2="00000000" w:usb3="00000000" w:csb0="00040000" w:csb1="00000000"/>
    <w:embedRegular r:id="rId5" w:fontKey="{CD0AE800-ED52-4165-B0DC-266A437398BB}"/>
  </w:font>
  <w:font w:name="方正黑体_GBK">
    <w:altName w:val="微软雅黑"/>
    <w:panose1 w:val="02010600010101010101"/>
    <w:charset w:val="86"/>
    <w:family w:val="auto"/>
    <w:pitch w:val="default"/>
    <w:sig w:usb0="00000000" w:usb1="00000000" w:usb2="00000000" w:usb3="00000000" w:csb0="00040000" w:csb1="00000000"/>
    <w:embedRegular r:id="rId6" w:fontKey="{41ABE8C2-5840-4FD4-BFA1-179B6470387F}"/>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125F5"/>
    <w:rsid w:val="7521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ind w:firstLine="420" w:firstLineChars="200"/>
    </w:pPr>
    <w:rPr>
      <w:rFonts w:ascii="Calibri" w:hAnsi="Calibri"/>
    </w:rPr>
  </w:style>
  <w:style w:type="paragraph" w:styleId="3">
    <w:name w:val="Body Text Indent"/>
    <w:basedOn w:val="1"/>
    <w:next w:val="2"/>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BodyText"/>
    <w:basedOn w:val="1"/>
    <w:qFormat/>
    <w:uiPriority w:val="99"/>
    <w:pPr>
      <w:ind w:left="707"/>
    </w:pPr>
    <w:rPr>
      <w:rFonts w:ascii="宋体" w:hAnsi="宋体" w:eastAsia="宋体"/>
      <w:sz w:val="23"/>
      <w:szCs w:val="24"/>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10"/>
    <w:qFormat/>
    <w:uiPriority w:val="0"/>
  </w:style>
  <w:style w:type="paragraph" w:customStyle="1" w:styleId="10">
    <w:name w:val="图表目录1"/>
    <w:basedOn w:val="9"/>
    <w:next w:val="9"/>
    <w:qFormat/>
    <w:uiPriority w:val="0"/>
    <w:pPr>
      <w:spacing w:before="100" w:beforeAutospacing="1" w:after="100" w:afterAutospacing="1"/>
      <w:ind w:left="200" w:leftChars="200" w:hanging="200" w:hanging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2025-07-31T02:25:00Z</dcterms:created>
  <dc:creator>郑欣欣</dc:creator>
  <cp:lastModifiedBy>郑欣欣</cp:lastModifiedBy>
  <dcterms:modified xsi:type="dcterms:W3CDTF">2025-07-31T02:29:28Z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B578C467CF764EA7A7B1613EF566425A_11</vt:lpwstr>
  </property>
  <property fmtid="{D5CDD505-2E9C-101B-9397-08002B2CF9AE}" pid="4" name="KSOTemplateDocerSaveRecord">
    <vt:lpwstr>eyJoZGlkIjoiMTNmNmI0MWUwYWQyNGI0NDkyZGRmZDcyZGNjYTY3NDIiLCJ1c2VySWQiOiIxMzQ2OTA1NDc1In0=</vt:lpwstr>
  </property>
</Properties>
</file>