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E25E3">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jc w:val="left"/>
        <w:rPr>
          <w:rFonts w:hint="default" w:ascii="Times New Roman" w:hAnsi="Times New Roman" w:eastAsia="黑体" w:cs="Times New Roman"/>
          <w:caps w:val="0"/>
          <w:color w:val="000000"/>
          <w:sz w:val="32"/>
          <w:szCs w:val="32"/>
          <w:highlight w:val="none"/>
          <w:lang w:val="en-US" w:eastAsia="zh-CN"/>
        </w:rPr>
      </w:pPr>
      <w:r>
        <w:rPr>
          <w:rFonts w:hint="default" w:ascii="Times New Roman" w:hAnsi="Times New Roman" w:eastAsia="黑体" w:cs="Times New Roman"/>
          <w:caps w:val="0"/>
          <w:color w:val="000000"/>
          <w:sz w:val="32"/>
          <w:szCs w:val="32"/>
          <w:highlight w:val="none"/>
          <w:lang w:eastAsia="zh-CN"/>
        </w:rPr>
        <w:t>附件</w:t>
      </w:r>
      <w:r>
        <w:rPr>
          <w:rFonts w:hint="default" w:ascii="Times New Roman" w:hAnsi="Times New Roman" w:eastAsia="黑体" w:cs="Times New Roman"/>
          <w:caps w:val="0"/>
          <w:color w:val="000000"/>
          <w:sz w:val="32"/>
          <w:szCs w:val="32"/>
          <w:highlight w:val="none"/>
          <w:lang w:val="en-US" w:eastAsia="zh-CN"/>
        </w:rPr>
        <w:t>1</w:t>
      </w:r>
    </w:p>
    <w:p w14:paraId="38441F36">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600" w:lineRule="exact"/>
        <w:jc w:val="center"/>
        <w:textAlignment w:val="auto"/>
        <w:rPr>
          <w:rFonts w:hint="default" w:ascii="Times New Roman" w:hAnsi="Times New Roman" w:eastAsia="方正小标宋_GBK" w:cs="Times New Roman"/>
          <w:caps w:val="0"/>
          <w:color w:val="000000"/>
          <w:kern w:val="2"/>
          <w:sz w:val="44"/>
          <w:szCs w:val="44"/>
          <w:highlight w:val="none"/>
        </w:rPr>
      </w:pPr>
    </w:p>
    <w:p w14:paraId="4A223F2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0" w:firstLineChars="0"/>
        <w:jc w:val="center"/>
        <w:textAlignment w:val="auto"/>
        <w:outlineLvl w:val="1"/>
        <w:rPr>
          <w:rFonts w:hint="eastAsia" w:ascii="方正小标宋简体" w:hAnsi="方正小标宋简体" w:eastAsia="方正小标宋简体" w:cs="方正小标宋简体"/>
          <w:caps w:val="0"/>
          <w:color w:val="000000"/>
          <w:spacing w:val="0"/>
          <w:sz w:val="44"/>
          <w:szCs w:val="44"/>
          <w:highlight w:val="none"/>
          <w:lang w:val="en-US" w:eastAsia="zh-CN"/>
        </w:rPr>
      </w:pPr>
      <w:r>
        <w:rPr>
          <w:rFonts w:hint="eastAsia" w:ascii="方正小标宋简体" w:hAnsi="方正小标宋简体" w:eastAsia="方正小标宋简体" w:cs="方正小标宋简体"/>
          <w:caps w:val="0"/>
          <w:color w:val="000000"/>
          <w:spacing w:val="0"/>
          <w:sz w:val="44"/>
          <w:szCs w:val="44"/>
          <w:highlight w:val="none"/>
          <w:lang w:val="en-US" w:eastAsia="zh-CN"/>
        </w:rPr>
        <w:t>广西汽车以旧换新补贴申请（2025年度）</w:t>
      </w:r>
    </w:p>
    <w:p w14:paraId="1602F20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0" w:firstLineChars="0"/>
        <w:jc w:val="center"/>
        <w:textAlignment w:val="auto"/>
        <w:outlineLvl w:val="1"/>
        <w:rPr>
          <w:rFonts w:hint="eastAsia" w:ascii="方正小标宋简体" w:hAnsi="方正小标宋简体" w:eastAsia="方正小标宋简体" w:cs="方正小标宋简体"/>
          <w:caps w:val="0"/>
          <w:color w:val="000000"/>
          <w:spacing w:val="0"/>
          <w:sz w:val="44"/>
          <w:szCs w:val="44"/>
          <w:highlight w:val="none"/>
          <w:lang w:val="en-US" w:eastAsia="zh-CN"/>
        </w:rPr>
      </w:pPr>
      <w:r>
        <w:rPr>
          <w:rFonts w:hint="eastAsia" w:ascii="方正小标宋简体" w:hAnsi="方正小标宋简体" w:eastAsia="方正小标宋简体" w:cs="方正小标宋简体"/>
          <w:caps w:val="0"/>
          <w:color w:val="000000"/>
          <w:spacing w:val="0"/>
          <w:sz w:val="44"/>
          <w:szCs w:val="44"/>
          <w:highlight w:val="none"/>
          <w:lang w:val="en-US" w:eastAsia="zh-CN"/>
        </w:rPr>
        <w:t>“一件事”办事指南</w:t>
      </w:r>
    </w:p>
    <w:p w14:paraId="1070A4CE">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exact"/>
        <w:jc w:val="center"/>
        <w:textAlignment w:val="auto"/>
        <w:rPr>
          <w:rFonts w:hint="default" w:ascii="Times New Roman" w:hAnsi="Times New Roman" w:eastAsia="方正小标宋_GBK" w:cs="Times New Roman"/>
          <w:caps w:val="0"/>
          <w:color w:val="000000"/>
          <w:sz w:val="44"/>
          <w:szCs w:val="44"/>
          <w:highlight w:val="none"/>
        </w:rPr>
      </w:pPr>
    </w:p>
    <w:p w14:paraId="73E62C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0"/>
        <w:rPr>
          <w:rFonts w:hint="default" w:ascii="Times New Roman" w:hAnsi="Times New Roman" w:eastAsia="黑体" w:cs="Times New Roman"/>
          <w:b w:val="0"/>
          <w:bCs w:val="0"/>
          <w:caps w:val="0"/>
          <w:strike w:val="0"/>
          <w:dstrike w:val="0"/>
          <w:color w:val="000000"/>
          <w:sz w:val="32"/>
          <w:szCs w:val="32"/>
          <w:highlight w:val="none"/>
          <w:lang w:val="en-US" w:eastAsia="zh-CN"/>
        </w:rPr>
      </w:pPr>
      <w:bookmarkStart w:id="0" w:name="_Toc16546"/>
      <w:bookmarkStart w:id="1" w:name="_Toc19919"/>
      <w:r>
        <w:rPr>
          <w:rFonts w:hint="default" w:ascii="Times New Roman" w:hAnsi="Times New Roman" w:eastAsia="黑体" w:cs="Times New Roman"/>
          <w:b w:val="0"/>
          <w:bCs w:val="0"/>
          <w:caps w:val="0"/>
          <w:strike w:val="0"/>
          <w:dstrike w:val="0"/>
          <w:color w:val="000000"/>
          <w:sz w:val="32"/>
          <w:szCs w:val="32"/>
          <w:highlight w:val="none"/>
          <w:lang w:val="en-US" w:eastAsia="zh-CN"/>
        </w:rPr>
        <w:t>一、基本信息</w:t>
      </w:r>
      <w:bookmarkEnd w:id="0"/>
      <w:bookmarkEnd w:id="1"/>
    </w:p>
    <w:p w14:paraId="670B7B5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pacing w:val="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w:t>
      </w:r>
      <w:r>
        <w:rPr>
          <w:rFonts w:hint="default" w:ascii="Times New Roman" w:hAnsi="Times New Roman" w:eastAsia="仿宋_GB2312" w:cs="Times New Roman"/>
          <w:b/>
          <w:bCs/>
          <w:caps w:val="0"/>
          <w:strike w:val="0"/>
          <w:dstrike w:val="0"/>
          <w:color w:val="000000"/>
          <w:spacing w:val="0"/>
          <w:sz w:val="32"/>
          <w:szCs w:val="32"/>
          <w:highlight w:val="none"/>
          <w:lang w:val="en-US" w:eastAsia="zh-CN"/>
        </w:rPr>
        <w:t>事项名称：</w:t>
      </w:r>
      <w:r>
        <w:rPr>
          <w:rFonts w:hint="default" w:ascii="Times New Roman" w:hAnsi="Times New Roman" w:eastAsia="仿宋_GB2312" w:cs="Times New Roman"/>
          <w:caps w:val="0"/>
          <w:color w:val="000000"/>
          <w:spacing w:val="0"/>
          <w:sz w:val="32"/>
          <w:szCs w:val="32"/>
          <w:highlight w:val="none"/>
          <w:lang w:val="en-US" w:eastAsia="zh-CN"/>
        </w:rPr>
        <w:t>广西汽车以旧换新补贴申请（2025年度）“一件事”</w:t>
      </w:r>
    </w:p>
    <w:p w14:paraId="67F0E19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2.牵头单位：</w:t>
      </w:r>
      <w:r>
        <w:rPr>
          <w:rFonts w:hint="default" w:ascii="Times New Roman" w:hAnsi="Times New Roman" w:eastAsia="仿宋_GB2312" w:cs="Times New Roman"/>
          <w:caps w:val="0"/>
          <w:color w:val="000000"/>
          <w:sz w:val="32"/>
          <w:szCs w:val="32"/>
          <w:highlight w:val="none"/>
          <w:lang w:val="en-US" w:eastAsia="zh-CN"/>
        </w:rPr>
        <w:t>自治区商务厅</w:t>
      </w:r>
    </w:p>
    <w:p w14:paraId="7D64B37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3.配合单位</w:t>
      </w:r>
      <w:r>
        <w:rPr>
          <w:rFonts w:hint="default" w:ascii="Times New Roman" w:hAnsi="Times New Roman" w:eastAsia="仿宋_GB2312" w:cs="Times New Roman"/>
          <w:caps w:val="0"/>
          <w:color w:val="000000"/>
          <w:sz w:val="32"/>
          <w:szCs w:val="32"/>
          <w:highlight w:val="none"/>
          <w:lang w:val="en-US" w:eastAsia="zh-CN"/>
        </w:rPr>
        <w:t>：自治区工业和信息化厅、公安厅、数据局，广西税务局</w:t>
      </w:r>
    </w:p>
    <w:p w14:paraId="2639342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b/>
          <w:bCs/>
          <w:caps w:val="0"/>
          <w:strike w:val="0"/>
          <w:dstrike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4.涉及事项：</w:t>
      </w:r>
    </w:p>
    <w:p w14:paraId="7F9A9C1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汽车报废更新补贴申请、报废机动车回收证明信息核查、新能源汽车车型信息核查、机动车注销和注册登记信息核查</w:t>
      </w:r>
    </w:p>
    <w:p w14:paraId="2AF5FA6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5.审批服务层级：</w:t>
      </w:r>
      <w:r>
        <w:rPr>
          <w:rFonts w:hint="default" w:ascii="Times New Roman" w:hAnsi="Times New Roman" w:eastAsia="仿宋_GB2312" w:cs="Times New Roman"/>
          <w:caps w:val="0"/>
          <w:color w:val="000000"/>
          <w:sz w:val="32"/>
          <w:szCs w:val="32"/>
          <w:highlight w:val="none"/>
          <w:lang w:val="en-US" w:eastAsia="zh-CN"/>
        </w:rPr>
        <w:t>市级；县（市、区）级（提供咨询服务）</w:t>
      </w:r>
    </w:p>
    <w:p w14:paraId="2600898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6.服务对象：</w:t>
      </w:r>
      <w:r>
        <w:rPr>
          <w:rFonts w:hint="default" w:ascii="Times New Roman" w:hAnsi="Times New Roman" w:eastAsia="仿宋_GB2312" w:cs="Times New Roman"/>
          <w:b w:val="0"/>
          <w:bCs w:val="0"/>
          <w:caps w:val="0"/>
          <w:strike w:val="0"/>
          <w:dstrike w:val="0"/>
          <w:color w:val="000000"/>
          <w:sz w:val="32"/>
          <w:szCs w:val="32"/>
          <w:highlight w:val="none"/>
          <w:lang w:val="en-US" w:eastAsia="zh-CN"/>
        </w:rPr>
        <w:t>参加汽车报废更新补贴的个人消费者</w:t>
      </w:r>
    </w:p>
    <w:p w14:paraId="037F98F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b/>
          <w:bCs/>
          <w:caps w:val="0"/>
          <w:strike w:val="0"/>
          <w:dstrike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7.办理形式：</w:t>
      </w:r>
      <w:r>
        <w:rPr>
          <w:rFonts w:hint="default" w:ascii="Times New Roman" w:hAnsi="Times New Roman" w:eastAsia="仿宋_GB2312" w:cs="Times New Roman"/>
          <w:caps w:val="0"/>
          <w:color w:val="000000"/>
          <w:sz w:val="32"/>
          <w:szCs w:val="32"/>
          <w:highlight w:val="none"/>
        </w:rPr>
        <w:t>网上办理</w:t>
      </w:r>
    </w:p>
    <w:p w14:paraId="20D6412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8.承诺审批（市级审核）时限：</w:t>
      </w:r>
      <w:r>
        <w:rPr>
          <w:rFonts w:hint="default" w:ascii="Times New Roman" w:hAnsi="Times New Roman" w:eastAsia="仿宋_GB2312" w:cs="Times New Roman"/>
          <w:caps w:val="0"/>
          <w:color w:val="000000"/>
          <w:sz w:val="32"/>
          <w:szCs w:val="32"/>
          <w:highlight w:val="none"/>
          <w:lang w:val="en-US" w:eastAsia="zh-CN"/>
        </w:rPr>
        <w:t>45个工作日</w:t>
      </w:r>
    </w:p>
    <w:p w14:paraId="5D014F1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9.是否收费：</w:t>
      </w:r>
      <w:r>
        <w:rPr>
          <w:rFonts w:hint="default" w:ascii="Times New Roman" w:hAnsi="Times New Roman" w:eastAsia="仿宋_GB2312" w:cs="Times New Roman"/>
          <w:caps w:val="0"/>
          <w:color w:val="000000"/>
          <w:sz w:val="32"/>
          <w:szCs w:val="32"/>
          <w:highlight w:val="none"/>
          <w:lang w:val="en-US" w:eastAsia="zh-CN"/>
        </w:rPr>
        <w:t>否</w:t>
      </w:r>
    </w:p>
    <w:p w14:paraId="446B7ED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10.线下跑动次数：</w:t>
      </w:r>
      <w:r>
        <w:rPr>
          <w:rFonts w:hint="default" w:ascii="Times New Roman" w:hAnsi="Times New Roman" w:eastAsia="仿宋_GB2312" w:cs="Times New Roman"/>
          <w:caps w:val="0"/>
          <w:color w:val="000000"/>
          <w:sz w:val="32"/>
          <w:szCs w:val="32"/>
          <w:highlight w:val="none"/>
          <w:lang w:val="en-US" w:eastAsia="zh-CN"/>
        </w:rPr>
        <w:t>0次</w:t>
      </w:r>
    </w:p>
    <w:p w14:paraId="1AAB0BE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11.是否支持预约办理：</w:t>
      </w:r>
      <w:r>
        <w:rPr>
          <w:rFonts w:hint="default" w:ascii="Times New Roman" w:hAnsi="Times New Roman" w:eastAsia="仿宋_GB2312" w:cs="Times New Roman"/>
          <w:caps w:val="0"/>
          <w:color w:val="000000"/>
          <w:sz w:val="32"/>
          <w:szCs w:val="32"/>
          <w:highlight w:val="none"/>
          <w:lang w:val="en-US" w:eastAsia="zh-CN"/>
        </w:rPr>
        <w:t>否</w:t>
      </w:r>
    </w:p>
    <w:p w14:paraId="563C013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12.中介服务事项名称：</w:t>
      </w:r>
      <w:r>
        <w:rPr>
          <w:rFonts w:hint="default" w:ascii="Times New Roman" w:hAnsi="Times New Roman" w:eastAsia="仿宋_GB2312" w:cs="Times New Roman"/>
          <w:caps w:val="0"/>
          <w:color w:val="000000"/>
          <w:sz w:val="32"/>
          <w:szCs w:val="32"/>
          <w:highlight w:val="none"/>
          <w:lang w:val="en-US" w:eastAsia="zh-CN"/>
        </w:rPr>
        <w:t>无</w:t>
      </w:r>
    </w:p>
    <w:p w14:paraId="0FC6DE3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13.是否需要勘验、组织听证、专家评审、检测：</w:t>
      </w:r>
      <w:r>
        <w:rPr>
          <w:rFonts w:hint="default" w:ascii="Times New Roman" w:hAnsi="Times New Roman" w:eastAsia="仿宋_GB2312" w:cs="Times New Roman"/>
          <w:caps w:val="0"/>
          <w:color w:val="000000"/>
          <w:sz w:val="32"/>
          <w:szCs w:val="32"/>
          <w:highlight w:val="none"/>
          <w:lang w:val="en-US" w:eastAsia="zh-CN"/>
        </w:rPr>
        <w:t>否</w:t>
      </w:r>
    </w:p>
    <w:p w14:paraId="14778BA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19" w:firstLineChars="200"/>
        <w:jc w:val="both"/>
        <w:textAlignment w:val="auto"/>
        <w:outlineLvl w:val="1"/>
        <w:rPr>
          <w:rFonts w:hint="default" w:ascii="Times New Roman" w:hAnsi="Times New Roman" w:eastAsia="仿宋_GB2312" w:cs="Times New Roman"/>
          <w:caps w:val="0"/>
          <w:color w:val="000000"/>
          <w:spacing w:val="-6"/>
          <w:sz w:val="32"/>
          <w:szCs w:val="32"/>
          <w:highlight w:val="none"/>
          <w:lang w:val="en-US" w:eastAsia="zh-CN"/>
        </w:rPr>
      </w:pPr>
      <w:r>
        <w:rPr>
          <w:rFonts w:hint="default" w:ascii="Times New Roman" w:hAnsi="Times New Roman" w:eastAsia="仿宋_GB2312" w:cs="Times New Roman"/>
          <w:b/>
          <w:bCs/>
          <w:caps w:val="0"/>
          <w:strike w:val="0"/>
          <w:dstrike w:val="0"/>
          <w:color w:val="000000"/>
          <w:spacing w:val="-6"/>
          <w:sz w:val="32"/>
          <w:szCs w:val="32"/>
          <w:highlight w:val="none"/>
          <w:lang w:val="en-US" w:eastAsia="zh-CN"/>
        </w:rPr>
        <w:t>14.审批机关是否委托服务机构开展技术性服务（名称）：</w:t>
      </w:r>
      <w:r>
        <w:rPr>
          <w:rFonts w:hint="default" w:ascii="Times New Roman" w:hAnsi="Times New Roman" w:eastAsia="仿宋_GB2312" w:cs="Times New Roman"/>
          <w:caps w:val="0"/>
          <w:color w:val="000000"/>
          <w:spacing w:val="-6"/>
          <w:sz w:val="32"/>
          <w:szCs w:val="32"/>
          <w:highlight w:val="none"/>
          <w:lang w:val="en-US" w:eastAsia="zh-CN"/>
        </w:rPr>
        <w:t>否</w:t>
      </w:r>
    </w:p>
    <w:p w14:paraId="3702431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15.是否实行告知承诺办理：</w:t>
      </w:r>
      <w:r>
        <w:rPr>
          <w:rFonts w:hint="default" w:ascii="Times New Roman" w:hAnsi="Times New Roman" w:eastAsia="仿宋_GB2312" w:cs="Times New Roman"/>
          <w:caps w:val="0"/>
          <w:color w:val="000000"/>
          <w:sz w:val="32"/>
          <w:szCs w:val="32"/>
          <w:highlight w:val="none"/>
          <w:lang w:val="en-US" w:eastAsia="zh-CN"/>
        </w:rPr>
        <w:t>否</w:t>
      </w:r>
    </w:p>
    <w:p w14:paraId="0D0FC79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16.是否实行容缺办理：</w:t>
      </w:r>
      <w:r>
        <w:rPr>
          <w:rFonts w:hint="default" w:ascii="Times New Roman" w:hAnsi="Times New Roman" w:eastAsia="仿宋_GB2312" w:cs="Times New Roman"/>
          <w:caps w:val="0"/>
          <w:color w:val="000000"/>
          <w:sz w:val="32"/>
          <w:szCs w:val="32"/>
          <w:highlight w:val="none"/>
          <w:lang w:val="en-US" w:eastAsia="zh-CN"/>
        </w:rPr>
        <w:t>否</w:t>
      </w:r>
    </w:p>
    <w:p w14:paraId="63D7AE6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17.联办能力：</w:t>
      </w:r>
      <w:r>
        <w:rPr>
          <w:rFonts w:hint="default" w:ascii="Times New Roman" w:hAnsi="Times New Roman" w:eastAsia="仿宋_GB2312" w:cs="Times New Roman"/>
          <w:caps w:val="0"/>
          <w:color w:val="000000"/>
          <w:sz w:val="32"/>
          <w:szCs w:val="32"/>
          <w:highlight w:val="none"/>
          <w:lang w:val="en-US" w:eastAsia="zh-CN"/>
        </w:rPr>
        <w:t>联合受理</w:t>
      </w:r>
    </w:p>
    <w:p w14:paraId="1ED350A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rPr>
      </w:pPr>
      <w:r>
        <w:rPr>
          <w:rFonts w:hint="default" w:ascii="Times New Roman" w:hAnsi="Times New Roman" w:eastAsia="仿宋_GB2312" w:cs="Times New Roman"/>
          <w:b/>
          <w:bCs/>
          <w:caps w:val="0"/>
          <w:strike w:val="0"/>
          <w:dstrike w:val="0"/>
          <w:color w:val="000000"/>
          <w:sz w:val="32"/>
          <w:szCs w:val="32"/>
          <w:highlight w:val="none"/>
          <w:lang w:val="en-US" w:eastAsia="zh-CN"/>
        </w:rPr>
        <w:t>18.咨询方式：</w:t>
      </w:r>
      <w:r>
        <w:rPr>
          <w:rFonts w:hint="default" w:ascii="Times New Roman" w:hAnsi="Times New Roman" w:eastAsia="仿宋_GB2312" w:cs="Times New Roman"/>
          <w:caps w:val="0"/>
          <w:color w:val="000000"/>
          <w:sz w:val="32"/>
          <w:szCs w:val="32"/>
          <w:highlight w:val="none"/>
        </w:rPr>
        <w:t>对应</w:t>
      </w:r>
      <w:r>
        <w:rPr>
          <w:rFonts w:hint="default" w:ascii="Times New Roman" w:hAnsi="Times New Roman" w:eastAsia="仿宋_GB2312" w:cs="Times New Roman"/>
          <w:caps w:val="0"/>
          <w:color w:val="000000"/>
          <w:sz w:val="32"/>
          <w:szCs w:val="32"/>
          <w:highlight w:val="none"/>
          <w:lang w:val="en-US" w:eastAsia="zh-CN"/>
        </w:rPr>
        <w:t>实施</w:t>
      </w:r>
      <w:r>
        <w:rPr>
          <w:rFonts w:hint="default" w:ascii="Times New Roman" w:hAnsi="Times New Roman" w:eastAsia="仿宋_GB2312" w:cs="Times New Roman"/>
          <w:caps w:val="0"/>
          <w:color w:val="000000"/>
          <w:sz w:val="32"/>
          <w:szCs w:val="32"/>
          <w:highlight w:val="none"/>
        </w:rPr>
        <w:t>层级的咨询方式</w:t>
      </w:r>
    </w:p>
    <w:p w14:paraId="691F0C0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rPr>
      </w:pPr>
      <w:r>
        <w:rPr>
          <w:rFonts w:hint="default" w:ascii="Times New Roman" w:hAnsi="Times New Roman" w:eastAsia="仿宋_GB2312" w:cs="Times New Roman"/>
          <w:b/>
          <w:bCs/>
          <w:caps w:val="0"/>
          <w:strike w:val="0"/>
          <w:dstrike w:val="0"/>
          <w:color w:val="000000"/>
          <w:sz w:val="32"/>
          <w:szCs w:val="32"/>
          <w:highlight w:val="none"/>
          <w:lang w:val="en-US" w:eastAsia="zh-CN"/>
        </w:rPr>
        <w:t>19.监督方式：</w:t>
      </w:r>
      <w:r>
        <w:rPr>
          <w:rFonts w:hint="default" w:ascii="Times New Roman" w:hAnsi="Times New Roman" w:eastAsia="仿宋_GB2312" w:cs="Times New Roman"/>
          <w:caps w:val="0"/>
          <w:color w:val="000000"/>
          <w:sz w:val="32"/>
          <w:szCs w:val="32"/>
          <w:highlight w:val="none"/>
        </w:rPr>
        <w:t>对应</w:t>
      </w:r>
      <w:r>
        <w:rPr>
          <w:rFonts w:hint="default" w:ascii="Times New Roman" w:hAnsi="Times New Roman" w:eastAsia="仿宋_GB2312" w:cs="Times New Roman"/>
          <w:caps w:val="0"/>
          <w:color w:val="000000"/>
          <w:sz w:val="32"/>
          <w:szCs w:val="32"/>
          <w:highlight w:val="none"/>
          <w:lang w:val="en-US" w:eastAsia="zh-CN"/>
        </w:rPr>
        <w:t>实施</w:t>
      </w:r>
      <w:r>
        <w:rPr>
          <w:rFonts w:hint="default" w:ascii="Times New Roman" w:hAnsi="Times New Roman" w:eastAsia="仿宋_GB2312" w:cs="Times New Roman"/>
          <w:caps w:val="0"/>
          <w:color w:val="000000"/>
          <w:sz w:val="32"/>
          <w:szCs w:val="32"/>
          <w:highlight w:val="none"/>
        </w:rPr>
        <w:t>层级的监督方式</w:t>
      </w:r>
    </w:p>
    <w:p w14:paraId="228D6D5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20.办理时间：</w:t>
      </w:r>
      <w:r>
        <w:rPr>
          <w:rFonts w:hint="default" w:ascii="Times New Roman" w:hAnsi="Times New Roman" w:eastAsia="仿宋_GB2312" w:cs="Times New Roman"/>
          <w:b w:val="0"/>
          <w:bCs w:val="0"/>
          <w:caps w:val="0"/>
          <w:strike w:val="0"/>
          <w:dstrike w:val="0"/>
          <w:color w:val="000000"/>
          <w:sz w:val="32"/>
          <w:szCs w:val="32"/>
          <w:highlight w:val="none"/>
          <w:lang w:val="en-US" w:eastAsia="zh-CN"/>
        </w:rPr>
        <w:t>政策实施期间每天</w:t>
      </w:r>
      <w:r>
        <w:rPr>
          <w:rFonts w:hint="default" w:ascii="Times New Roman" w:hAnsi="Times New Roman" w:eastAsia="仿宋_GB2312" w:cs="Times New Roman"/>
          <w:caps w:val="0"/>
          <w:color w:val="000000"/>
          <w:sz w:val="32"/>
          <w:szCs w:val="32"/>
          <w:highlight w:val="none"/>
          <w:lang w:val="en-US" w:eastAsia="zh-CN"/>
        </w:rPr>
        <w:t>00:00-23:59（线上申请）</w:t>
      </w:r>
    </w:p>
    <w:p w14:paraId="5875EAB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b/>
          <w:bCs/>
          <w:caps w:val="0"/>
          <w:strike w:val="0"/>
          <w:dstrike w:val="0"/>
          <w:color w:val="000000"/>
          <w:sz w:val="32"/>
          <w:szCs w:val="32"/>
          <w:highlight w:val="none"/>
          <w:lang w:val="en-US" w:eastAsia="zh-CN"/>
        </w:rPr>
        <w:t>21.办理地址：</w:t>
      </w:r>
      <w:r>
        <w:rPr>
          <w:rFonts w:hint="default" w:ascii="Times New Roman" w:hAnsi="Times New Roman" w:eastAsia="仿宋_GB2312" w:cs="Times New Roman"/>
          <w:caps w:val="0"/>
          <w:color w:val="000000"/>
          <w:sz w:val="32"/>
          <w:szCs w:val="32"/>
          <w:highlight w:val="none"/>
          <w:lang w:val="en-US" w:eastAsia="zh-CN"/>
        </w:rPr>
        <w:t>全国汽车以旧换新平台</w:t>
      </w:r>
    </w:p>
    <w:p w14:paraId="471A26A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0"/>
        <w:rPr>
          <w:rFonts w:hint="default" w:ascii="Times New Roman" w:hAnsi="Times New Roman" w:eastAsia="黑体" w:cs="Times New Roman"/>
          <w:b w:val="0"/>
          <w:bCs w:val="0"/>
          <w:caps w:val="0"/>
          <w:strike w:val="0"/>
          <w:dstrike w:val="0"/>
          <w:color w:val="000000"/>
          <w:sz w:val="32"/>
          <w:szCs w:val="32"/>
          <w:highlight w:val="none"/>
          <w:lang w:val="en-US" w:eastAsia="zh-CN"/>
        </w:rPr>
      </w:pPr>
      <w:bookmarkStart w:id="2" w:name="_Toc10319"/>
      <w:bookmarkStart w:id="3" w:name="_Toc1714"/>
      <w:r>
        <w:rPr>
          <w:rFonts w:hint="default" w:ascii="Times New Roman" w:hAnsi="Times New Roman" w:eastAsia="黑体" w:cs="Times New Roman"/>
          <w:b w:val="0"/>
          <w:bCs w:val="0"/>
          <w:caps w:val="0"/>
          <w:strike w:val="0"/>
          <w:dstrike w:val="0"/>
          <w:color w:val="000000"/>
          <w:sz w:val="32"/>
          <w:szCs w:val="32"/>
          <w:highlight w:val="none"/>
          <w:lang w:val="en-US" w:eastAsia="zh-CN"/>
        </w:rPr>
        <w:t>二、设定和实施依据</w:t>
      </w:r>
      <w:bookmarkEnd w:id="2"/>
      <w:bookmarkEnd w:id="3"/>
    </w:p>
    <w:p w14:paraId="713EC66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0"/>
        <w:rPr>
          <w:rFonts w:hint="default" w:ascii="Times New Roman" w:hAnsi="Times New Roman" w:eastAsia="仿宋_GB2312" w:cs="Times New Roman"/>
          <w:color w:val="auto"/>
          <w:sz w:val="32"/>
          <w:szCs w:val="32"/>
          <w:highlight w:val="none"/>
          <w:lang w:eastAsia="zh-CN"/>
        </w:rPr>
      </w:pPr>
      <w:bookmarkStart w:id="4" w:name="_Toc23715"/>
      <w:bookmarkStart w:id="5" w:name="_Toc27381"/>
      <w:r>
        <w:rPr>
          <w:rFonts w:hint="default" w:ascii="Times New Roman" w:hAnsi="Times New Roman" w:eastAsia="仿宋_GB2312" w:cs="Times New Roman"/>
          <w:b/>
          <w:bCs/>
          <w:caps w:val="0"/>
          <w:snapToGrid w:val="0"/>
          <w:color w:val="000000"/>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国家发展改革委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财政部关于2025年加力扩围实施大规模设备更新和消费品以旧换新政策的通知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发改环资〔2025〕13号</w:t>
      </w:r>
      <w:r>
        <w:rPr>
          <w:rFonts w:hint="default" w:ascii="Times New Roman" w:hAnsi="Times New Roman" w:eastAsia="仿宋_GB2312" w:cs="Times New Roman"/>
          <w:color w:val="auto"/>
          <w:sz w:val="32"/>
          <w:szCs w:val="32"/>
          <w:highlight w:val="none"/>
          <w:lang w:eastAsia="zh-CN"/>
        </w:rPr>
        <w:t>）；</w:t>
      </w:r>
    </w:p>
    <w:p w14:paraId="01F0283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aps w:val="0"/>
          <w:snapToGrid w:val="0"/>
          <w:color w:val="000000"/>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val="en-US" w:eastAsia="zh-CN"/>
        </w:rPr>
        <w:t>《商务部等8部门办公厅关于做好2025年汽车以旧换新工作的通知》（商办消费函〔2025〕8号）；</w:t>
      </w:r>
    </w:p>
    <w:p w14:paraId="21AEA9B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3" w:firstLineChars="200"/>
        <w:jc w:val="both"/>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aps w:val="0"/>
          <w:snapToGrid w:val="0"/>
          <w:color w:val="000000"/>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《自治区商务厅等8部门关于印发〈2025年广西汽车以旧换新补贴工作方案〉的通知》（桂商运发〔2025〕14号）。</w:t>
      </w:r>
    </w:p>
    <w:p w14:paraId="48F8CC8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0"/>
        <w:rPr>
          <w:rFonts w:hint="default" w:ascii="Times New Roman" w:hAnsi="Times New Roman" w:eastAsia="黑体" w:cs="Times New Roman"/>
          <w:b w:val="0"/>
          <w:bCs w:val="0"/>
          <w:caps w:val="0"/>
          <w:strike w:val="0"/>
          <w:dstrike w:val="0"/>
          <w:color w:val="000000"/>
          <w:sz w:val="32"/>
          <w:szCs w:val="32"/>
          <w:highlight w:val="none"/>
          <w:lang w:val="en-US" w:eastAsia="zh-CN"/>
        </w:rPr>
      </w:pPr>
      <w:r>
        <w:rPr>
          <w:rFonts w:hint="default" w:ascii="Times New Roman" w:hAnsi="Times New Roman" w:eastAsia="黑体" w:cs="Times New Roman"/>
          <w:b w:val="0"/>
          <w:bCs w:val="0"/>
          <w:caps w:val="0"/>
          <w:strike w:val="0"/>
          <w:dstrike w:val="0"/>
          <w:color w:val="000000"/>
          <w:sz w:val="32"/>
          <w:szCs w:val="32"/>
          <w:highlight w:val="none"/>
          <w:lang w:val="en-US" w:eastAsia="zh-CN"/>
        </w:rPr>
        <w:t>三、申请须知</w:t>
      </w:r>
      <w:bookmarkEnd w:id="4"/>
      <w:bookmarkEnd w:id="5"/>
    </w:p>
    <w:p w14:paraId="4BB40672">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bCs/>
          <w:caps w:val="0"/>
          <w:color w:val="000000"/>
          <w:kern w:val="2"/>
          <w:sz w:val="32"/>
          <w:szCs w:val="32"/>
          <w:highlight w:val="none"/>
          <w:lang w:eastAsia="zh-CN"/>
        </w:rPr>
      </w:pPr>
      <w:r>
        <w:rPr>
          <w:rFonts w:hint="default" w:ascii="Times New Roman" w:hAnsi="Times New Roman" w:eastAsia="仿宋_GB2312" w:cs="Times New Roman"/>
          <w:b/>
          <w:bCs/>
          <w:caps w:val="0"/>
          <w:color w:val="000000"/>
          <w:kern w:val="2"/>
          <w:sz w:val="32"/>
          <w:szCs w:val="32"/>
          <w:highlight w:val="none"/>
          <w:lang w:val="en-US" w:eastAsia="zh-CN"/>
        </w:rPr>
        <w:t>1.</w:t>
      </w:r>
      <w:r>
        <w:rPr>
          <w:rFonts w:hint="default" w:ascii="Times New Roman" w:hAnsi="Times New Roman" w:eastAsia="仿宋_GB2312" w:cs="Times New Roman"/>
          <w:b/>
          <w:bCs/>
          <w:caps w:val="0"/>
          <w:color w:val="000000"/>
          <w:kern w:val="2"/>
          <w:sz w:val="32"/>
          <w:szCs w:val="32"/>
          <w:highlight w:val="none"/>
          <w:lang w:eastAsia="zh-CN"/>
        </w:rPr>
        <w:t>受理条件</w:t>
      </w:r>
    </w:p>
    <w:p w14:paraId="400686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（1）在《关于进一步做好汽车以旧换新有关工作的通知》</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商消费函〔2024〕392号</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基础上，将符合条件的国四排放标准燃油乘用车纳入可申请报废更新补贴的旧车范围。从2025年1月1日起至2025年12月31日期间，个人消费者报废2012年6月30日前</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含当日，下同</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注册登记的汽油乘用车、2014年6月30日前注册登记的柴油及其他燃料乘用车，或2018年12月31日前注册登记的新能源乘用车，并购买纳入《减免车辆购置税的新能源汽车车型目录》的新能源乘用车或2.0升及以下排量燃油乘用车，购买新能源乘用车单台补贴2万元、购买2.0升及以下排量燃油乘用车单台补贴1.5万元。</w:t>
      </w:r>
    </w:p>
    <w:p w14:paraId="67179DB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参加申请补贴的报废汽车所有人和新购置汽车所有人应为同一个人消费者，其所报废的符合条件的旧车，应当2025年1月8日前登记在申请人名下</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在补贴申请审核期间，其所新购置的汽车应登记在申请人名下。报废更新补贴资金用完活动即止。</w:t>
      </w:r>
    </w:p>
    <w:p w14:paraId="322DDA20">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个人消费者申请补贴</w:t>
      </w:r>
      <w:r>
        <w:rPr>
          <w:rFonts w:hint="default" w:ascii="Times New Roman" w:hAnsi="Times New Roman" w:cs="Times New Roman"/>
          <w:caps w:val="0"/>
          <w:color w:val="000000"/>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应报废并注销本人名下旧车，取得《报废机动车回收证明》和《机动车注销证明》，购买新车并办理注册登记，取得《机动车销售统一发票》和《机动车登记证书》。</w:t>
      </w:r>
    </w:p>
    <w:p w14:paraId="7325234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上述《报废机动车回收证明》《机动车注销证明》《机动车销售统一发票》《机动车登记证书》，均应于2025年1月1日（含当日）起开具。其中，《报废机动车回收证明》应由有资质的报废机动车回收拆解企业开具。</w:t>
      </w:r>
    </w:p>
    <w:p w14:paraId="0FE8709D">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bCs/>
          <w:caps w:val="0"/>
          <w:color w:val="000000"/>
          <w:kern w:val="2"/>
          <w:sz w:val="32"/>
          <w:szCs w:val="32"/>
          <w:highlight w:val="none"/>
        </w:rPr>
      </w:pPr>
      <w:r>
        <w:rPr>
          <w:rFonts w:hint="default" w:ascii="Times New Roman" w:hAnsi="Times New Roman" w:eastAsia="仿宋_GB2312" w:cs="Times New Roman"/>
          <w:b/>
          <w:bCs/>
          <w:caps w:val="0"/>
          <w:color w:val="000000"/>
          <w:kern w:val="2"/>
          <w:sz w:val="32"/>
          <w:szCs w:val="32"/>
          <w:highlight w:val="none"/>
          <w:lang w:val="en-US" w:eastAsia="zh-CN"/>
        </w:rPr>
        <w:t>2.</w:t>
      </w:r>
      <w:r>
        <w:rPr>
          <w:rFonts w:hint="default" w:ascii="Times New Roman" w:hAnsi="Times New Roman" w:eastAsia="仿宋_GB2312" w:cs="Times New Roman"/>
          <w:b/>
          <w:bCs/>
          <w:caps w:val="0"/>
          <w:color w:val="000000"/>
          <w:kern w:val="2"/>
          <w:sz w:val="32"/>
          <w:szCs w:val="32"/>
          <w:highlight w:val="none"/>
        </w:rPr>
        <w:t>注意事项</w:t>
      </w:r>
    </w:p>
    <w:p w14:paraId="3F10E8F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仿宋_GB2312"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2025年1月1日起，在一个自然年度内，每位个人消费者最多可享受一次汽车报废更新补贴。同一辆新车，只能选择申领汽车报废更新补贴或者选择申领汽车置换更新补贴，不能重复申领享受上述两种补贴。</w:t>
      </w:r>
    </w:p>
    <w:p w14:paraId="641B4A93">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exact"/>
        <w:ind w:firstLine="643" w:firstLineChars="200"/>
        <w:jc w:val="both"/>
        <w:textAlignment w:val="auto"/>
        <w:rPr>
          <w:rFonts w:hint="default" w:ascii="Times New Roman" w:hAnsi="Times New Roman" w:eastAsia="仿宋_GB2312" w:cs="Times New Roman"/>
          <w:b/>
          <w:bCs/>
          <w:caps w:val="0"/>
          <w:color w:val="000000"/>
          <w:kern w:val="2"/>
          <w:sz w:val="32"/>
          <w:szCs w:val="32"/>
          <w:highlight w:val="none"/>
          <w:lang w:eastAsia="zh-CN"/>
        </w:rPr>
      </w:pPr>
      <w:r>
        <w:rPr>
          <w:rFonts w:hint="default" w:ascii="Times New Roman" w:hAnsi="Times New Roman" w:eastAsia="仿宋_GB2312" w:cs="Times New Roman"/>
          <w:b/>
          <w:bCs/>
          <w:caps w:val="0"/>
          <w:color w:val="000000"/>
          <w:kern w:val="2"/>
          <w:sz w:val="32"/>
          <w:szCs w:val="32"/>
          <w:highlight w:val="none"/>
          <w:lang w:val="en-US" w:eastAsia="zh-CN"/>
        </w:rPr>
        <w:t>3.</w:t>
      </w:r>
      <w:r>
        <w:rPr>
          <w:rFonts w:hint="default" w:ascii="Times New Roman" w:hAnsi="Times New Roman" w:eastAsia="仿宋_GB2312" w:cs="Times New Roman"/>
          <w:b/>
          <w:bCs/>
          <w:caps w:val="0"/>
          <w:color w:val="000000"/>
          <w:kern w:val="2"/>
          <w:sz w:val="32"/>
          <w:szCs w:val="32"/>
          <w:highlight w:val="none"/>
          <w:lang w:eastAsia="zh-CN"/>
        </w:rPr>
        <w:t>特殊情况</w:t>
      </w:r>
    </w:p>
    <w:p w14:paraId="009260B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outlineLvl w:val="1"/>
        <w:rPr>
          <w:rFonts w:hint="default" w:ascii="Times New Roman" w:hAnsi="Times New Roman" w:eastAsia="方正仿宋_GBK" w:cs="Times New Roman"/>
          <w:caps w:val="0"/>
          <w:color w:val="000000"/>
          <w:sz w:val="32"/>
          <w:szCs w:val="32"/>
          <w:highlight w:val="none"/>
          <w:lang w:val="en-US" w:eastAsia="zh-CN"/>
        </w:rPr>
      </w:pPr>
      <w:r>
        <w:rPr>
          <w:rFonts w:hint="default" w:ascii="Times New Roman" w:hAnsi="Times New Roman" w:eastAsia="仿宋_GB2312" w:cs="Times New Roman"/>
          <w:caps w:val="0"/>
          <w:color w:val="000000"/>
          <w:sz w:val="32"/>
          <w:szCs w:val="32"/>
          <w:highlight w:val="none"/>
          <w:lang w:val="en-US" w:eastAsia="zh-CN"/>
        </w:rPr>
        <w:t>跨年政策衔接。对在2024年7月25日至2024年12月31日期间仅部分取得4类证明，并在2025年2月28日前全部取得4类证明的个人消费者，可纳入2025年汽车报废更新政策支持范围，并计入2025年当年享受补贴次数。申请人相应报废的机动车和所购买的新车应符合商消费函〔2024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aps w:val="0"/>
          <w:color w:val="000000"/>
          <w:sz w:val="32"/>
          <w:szCs w:val="32"/>
          <w:highlight w:val="none"/>
          <w:lang w:val="en-US" w:eastAsia="zh-CN"/>
        </w:rPr>
        <w:t>392号文有关要求。</w:t>
      </w:r>
    </w:p>
    <w:p w14:paraId="1025EC38">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600" w:lineRule="exact"/>
        <w:ind w:firstLine="640" w:firstLineChars="200"/>
        <w:jc w:val="both"/>
        <w:textAlignment w:val="auto"/>
        <w:outlineLvl w:val="9"/>
        <w:rPr>
          <w:rFonts w:hint="default" w:ascii="Times New Roman" w:hAnsi="Times New Roman" w:eastAsia="方正黑体_GBK" w:cs="Times New Roman"/>
          <w:b w:val="0"/>
          <w:bCs w:val="0"/>
          <w:caps w:val="0"/>
          <w:strike w:val="0"/>
          <w:dstrike w:val="0"/>
          <w:color w:val="000000"/>
          <w:sz w:val="32"/>
          <w:szCs w:val="32"/>
          <w:highlight w:val="none"/>
          <w:lang w:val="en-US" w:eastAsia="zh-CN"/>
        </w:rPr>
      </w:pPr>
      <w:r>
        <w:rPr>
          <w:rFonts w:hint="default" w:ascii="Times New Roman" w:hAnsi="Times New Roman" w:eastAsia="方正黑体_GBK" w:cs="Times New Roman"/>
          <w:b w:val="0"/>
          <w:bCs w:val="0"/>
          <w:caps w:val="0"/>
          <w:color w:val="000000"/>
          <w:kern w:val="2"/>
          <w:sz w:val="32"/>
          <w:szCs w:val="32"/>
          <w:highlight w:val="none"/>
          <w:lang w:eastAsia="zh-CN"/>
        </w:rPr>
        <w:t>四、</w:t>
      </w:r>
      <w:bookmarkStart w:id="6" w:name="_Toc7837"/>
      <w:bookmarkStart w:id="7" w:name="_Toc28284"/>
      <w:r>
        <w:rPr>
          <w:rFonts w:hint="default" w:ascii="Times New Roman" w:hAnsi="Times New Roman" w:eastAsia="方正黑体_GBK" w:cs="Times New Roman"/>
          <w:b w:val="0"/>
          <w:bCs w:val="0"/>
          <w:caps w:val="0"/>
          <w:strike w:val="0"/>
          <w:dstrike w:val="0"/>
          <w:color w:val="000000"/>
          <w:sz w:val="32"/>
          <w:szCs w:val="32"/>
          <w:highlight w:val="none"/>
          <w:lang w:val="en-US" w:eastAsia="zh-CN"/>
        </w:rPr>
        <w:t>申请材料</w:t>
      </w:r>
      <w:bookmarkEnd w:id="6"/>
      <w:bookmarkEnd w:id="7"/>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
        <w:gridCol w:w="1701"/>
        <w:gridCol w:w="726"/>
        <w:gridCol w:w="534"/>
        <w:gridCol w:w="688"/>
        <w:gridCol w:w="568"/>
        <w:gridCol w:w="896"/>
        <w:gridCol w:w="787"/>
        <w:gridCol w:w="994"/>
        <w:gridCol w:w="836"/>
        <w:gridCol w:w="912"/>
      </w:tblGrid>
      <w:tr w14:paraId="102A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jc w:val="center"/>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1384841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bookmarkStart w:id="8" w:name="_Toc6332"/>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序号</w:t>
            </w:r>
          </w:p>
        </w:tc>
        <w:tc>
          <w:tcPr>
            <w:tcW w:w="939" w:type="pct"/>
            <w:tcBorders>
              <w:top w:val="single" w:color="000000" w:sz="4" w:space="0"/>
              <w:left w:val="single" w:color="000000" w:sz="4" w:space="0"/>
              <w:bottom w:val="single" w:color="000000" w:sz="4" w:space="0"/>
              <w:right w:val="single" w:color="000000" w:sz="4" w:space="0"/>
            </w:tcBorders>
            <w:noWrap w:val="0"/>
            <w:vAlign w:val="center"/>
          </w:tcPr>
          <w:p w14:paraId="299F734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kern w:val="0"/>
                <w:sz w:val="21"/>
                <w:szCs w:val="21"/>
                <w:highlight w:val="none"/>
                <w:u w:val="none"/>
                <w:lang w:val="en-US" w:eastAsia="zh-CN" w:bidi="ar"/>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材料名称</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E8894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材料类型</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14:paraId="5B0E489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材料形式</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30D00C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来源渠道</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0ADAE5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出具部门</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14:paraId="3A62A8C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纸质材料份数</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59FC1E1">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材料必要性</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47A3E3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sz w:val="21"/>
                <w:szCs w:val="21"/>
                <w:highlight w:val="none"/>
                <w:u w:val="none"/>
                <w:lang w:val="en-US" w:eastAsia="zh-CN"/>
              </w:rPr>
            </w:pPr>
            <w:r>
              <w:rPr>
                <w:rFonts w:hint="default" w:ascii="Times New Roman" w:hAnsi="Times New Roman" w:eastAsia="方正黑体_GBK" w:cs="Times New Roman"/>
                <w:i w:val="0"/>
                <w:iCs w:val="0"/>
                <w:caps w:val="0"/>
                <w:color w:val="000000"/>
                <w:spacing w:val="-6"/>
                <w:sz w:val="21"/>
                <w:szCs w:val="21"/>
                <w:highlight w:val="none"/>
                <w:u w:val="none"/>
                <w:lang w:val="en-US" w:eastAsia="zh-CN"/>
              </w:rPr>
              <w:t>涉及事项</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BB3464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kern w:val="0"/>
                <w:sz w:val="21"/>
                <w:szCs w:val="21"/>
                <w:highlight w:val="none"/>
                <w:u w:val="none"/>
                <w:lang w:val="en-US" w:eastAsia="zh-CN" w:bidi="ar"/>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非必要材料涉及情形</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45C6142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黑体" w:cs="Times New Roman"/>
                <w:i w:val="0"/>
                <w:iCs w:val="0"/>
                <w:caps w:val="0"/>
                <w:color w:val="000000"/>
                <w:spacing w:val="-6"/>
                <w:kern w:val="0"/>
                <w:sz w:val="21"/>
                <w:szCs w:val="21"/>
                <w:highlight w:val="none"/>
                <w:u w:val="none"/>
                <w:lang w:val="en-US" w:eastAsia="zh-CN" w:bidi="ar"/>
              </w:rPr>
            </w:pPr>
            <w:r>
              <w:rPr>
                <w:rFonts w:hint="default" w:ascii="Times New Roman" w:hAnsi="Times New Roman" w:eastAsia="方正黑体_GBK" w:cs="Times New Roman"/>
                <w:i w:val="0"/>
                <w:iCs w:val="0"/>
                <w:caps w:val="0"/>
                <w:color w:val="000000"/>
                <w:spacing w:val="-6"/>
                <w:kern w:val="0"/>
                <w:sz w:val="21"/>
                <w:szCs w:val="21"/>
                <w:highlight w:val="none"/>
                <w:u w:val="none"/>
                <w:lang w:val="en-US" w:eastAsia="zh-CN" w:bidi="ar"/>
              </w:rPr>
              <w:t>备注</w:t>
            </w:r>
          </w:p>
        </w:tc>
      </w:tr>
      <w:tr w14:paraId="1CE7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72E0E7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1</w:t>
            </w:r>
          </w:p>
        </w:tc>
        <w:tc>
          <w:tcPr>
            <w:tcW w:w="93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1D3654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color w:val="000000"/>
                <w:sz w:val="21"/>
                <w:szCs w:val="21"/>
                <w:highlight w:val="none"/>
                <w:u w:val="none"/>
              </w:rPr>
              <w:t>本人身份证，或其他有效身份证明</w:t>
            </w:r>
          </w:p>
        </w:tc>
        <w:tc>
          <w:tcPr>
            <w:tcW w:w="4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8C8255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原件</w:t>
            </w:r>
          </w:p>
        </w:tc>
        <w:tc>
          <w:tcPr>
            <w:tcW w:w="2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AB7B2D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电子</w:t>
            </w:r>
          </w:p>
        </w:tc>
        <w:tc>
          <w:tcPr>
            <w:tcW w:w="38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05B751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caps w:val="0"/>
                <w:color w:val="000000"/>
                <w:kern w:val="0"/>
                <w:sz w:val="21"/>
                <w:szCs w:val="21"/>
                <w:highlight w:val="none"/>
                <w:lang w:bidi="ar"/>
              </w:rPr>
              <w:t>政府部门核发</w:t>
            </w:r>
          </w:p>
        </w:tc>
        <w:tc>
          <w:tcPr>
            <w:tcW w:w="31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C9B31A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公安部门</w:t>
            </w:r>
          </w:p>
        </w:tc>
        <w:tc>
          <w:tcPr>
            <w:tcW w:w="4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AD2570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val="en-US" w:eastAsia="zh-CN"/>
              </w:rPr>
              <w:t>0份</w:t>
            </w:r>
          </w:p>
        </w:tc>
        <w:tc>
          <w:tcPr>
            <w:tcW w:w="43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0FE9EF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必要</w:t>
            </w:r>
          </w:p>
        </w:tc>
        <w:tc>
          <w:tcPr>
            <w:tcW w:w="54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0F3E0B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val="en-US" w:eastAsia="zh-CN"/>
              </w:rPr>
              <w:t>全量事项</w:t>
            </w:r>
          </w:p>
        </w:tc>
        <w:tc>
          <w:tcPr>
            <w:tcW w:w="46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9D7E13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FF2133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r>
      <w:tr w14:paraId="48BB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9912B7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2</w:t>
            </w:r>
          </w:p>
        </w:tc>
        <w:tc>
          <w:tcPr>
            <w:tcW w:w="93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3DBB3F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caps w:val="0"/>
                <w:color w:val="000000"/>
                <w:sz w:val="21"/>
                <w:szCs w:val="21"/>
                <w:highlight w:val="none"/>
                <w:u w:val="none"/>
                <w:lang w:val="en-US" w:eastAsia="zh-CN"/>
              </w:rPr>
              <w:t>报废汽车的《报废机动车回收证明》</w:t>
            </w:r>
          </w:p>
        </w:tc>
        <w:tc>
          <w:tcPr>
            <w:tcW w:w="4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4A4F6B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原件</w:t>
            </w:r>
          </w:p>
        </w:tc>
        <w:tc>
          <w:tcPr>
            <w:tcW w:w="2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5DD7E7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电子</w:t>
            </w:r>
          </w:p>
        </w:tc>
        <w:tc>
          <w:tcPr>
            <w:tcW w:w="38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E2131E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kern w:val="0"/>
                <w:sz w:val="21"/>
                <w:szCs w:val="21"/>
                <w:highlight w:val="none"/>
                <w:u w:val="none"/>
                <w:lang w:val="en-US" w:eastAsia="zh-CN" w:bidi="ar"/>
              </w:rPr>
            </w:pPr>
            <w:r>
              <w:rPr>
                <w:rFonts w:hint="default" w:ascii="Times New Roman" w:hAnsi="Times New Roman" w:eastAsia="宋体" w:cs="Times New Roman"/>
                <w:caps w:val="0"/>
                <w:color w:val="000000"/>
                <w:kern w:val="0"/>
                <w:sz w:val="21"/>
                <w:szCs w:val="21"/>
                <w:highlight w:val="none"/>
                <w:lang w:bidi="ar"/>
              </w:rPr>
              <w:t>政府部门核发</w:t>
            </w:r>
          </w:p>
        </w:tc>
        <w:tc>
          <w:tcPr>
            <w:tcW w:w="31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D20FC6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工业和信息化部门</w:t>
            </w:r>
          </w:p>
        </w:tc>
        <w:tc>
          <w:tcPr>
            <w:tcW w:w="4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A7FDC9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val="en-US" w:eastAsia="zh-CN"/>
              </w:rPr>
              <w:t>0份</w:t>
            </w:r>
          </w:p>
        </w:tc>
        <w:tc>
          <w:tcPr>
            <w:tcW w:w="43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150C26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必要</w:t>
            </w:r>
          </w:p>
        </w:tc>
        <w:tc>
          <w:tcPr>
            <w:tcW w:w="54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932EEB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全量事项</w:t>
            </w:r>
          </w:p>
        </w:tc>
        <w:tc>
          <w:tcPr>
            <w:tcW w:w="46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90752B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ABCDE3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both"/>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eastAsia="zh-CN"/>
              </w:rPr>
              <w:t>应于2025年1月1日（含当日）起开具</w:t>
            </w:r>
          </w:p>
        </w:tc>
      </w:tr>
      <w:tr w14:paraId="1F05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BD441C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3</w:t>
            </w:r>
          </w:p>
        </w:tc>
        <w:tc>
          <w:tcPr>
            <w:tcW w:w="93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EF9570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caps w:val="0"/>
                <w:color w:val="000000"/>
                <w:sz w:val="21"/>
                <w:szCs w:val="21"/>
                <w:highlight w:val="none"/>
                <w:u w:val="none"/>
                <w:lang w:val="en-US" w:eastAsia="zh-CN"/>
              </w:rPr>
              <w:t>报废汽车的《机动车注销证明》</w:t>
            </w:r>
          </w:p>
        </w:tc>
        <w:tc>
          <w:tcPr>
            <w:tcW w:w="4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AD090E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原件</w:t>
            </w:r>
          </w:p>
        </w:tc>
        <w:tc>
          <w:tcPr>
            <w:tcW w:w="2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BB2270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电子</w:t>
            </w:r>
          </w:p>
        </w:tc>
        <w:tc>
          <w:tcPr>
            <w:tcW w:w="38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C275CC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kern w:val="0"/>
                <w:sz w:val="21"/>
                <w:szCs w:val="21"/>
                <w:highlight w:val="none"/>
                <w:u w:val="none"/>
                <w:lang w:val="en-US" w:eastAsia="zh-CN" w:bidi="ar"/>
              </w:rPr>
            </w:pPr>
            <w:r>
              <w:rPr>
                <w:rFonts w:hint="default" w:ascii="Times New Roman" w:hAnsi="Times New Roman" w:eastAsia="宋体" w:cs="Times New Roman"/>
                <w:caps w:val="0"/>
                <w:color w:val="000000"/>
                <w:kern w:val="0"/>
                <w:sz w:val="21"/>
                <w:szCs w:val="21"/>
                <w:highlight w:val="none"/>
                <w:lang w:bidi="ar"/>
              </w:rPr>
              <w:t>政府部门核发</w:t>
            </w:r>
          </w:p>
        </w:tc>
        <w:tc>
          <w:tcPr>
            <w:tcW w:w="31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B952BF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公安部门</w:t>
            </w:r>
          </w:p>
        </w:tc>
        <w:tc>
          <w:tcPr>
            <w:tcW w:w="4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2071F7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val="en-US" w:eastAsia="zh-CN"/>
              </w:rPr>
              <w:t>0份</w:t>
            </w:r>
          </w:p>
        </w:tc>
        <w:tc>
          <w:tcPr>
            <w:tcW w:w="43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B1AB39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rPr>
            </w:pPr>
            <w:r>
              <w:rPr>
                <w:rFonts w:hint="default" w:ascii="Times New Roman" w:hAnsi="Times New Roman" w:eastAsia="宋体" w:cs="Times New Roman"/>
                <w:i w:val="0"/>
                <w:iCs w:val="0"/>
                <w:caps w:val="0"/>
                <w:color w:val="000000"/>
                <w:sz w:val="21"/>
                <w:szCs w:val="21"/>
                <w:highlight w:val="none"/>
                <w:u w:val="none"/>
                <w:lang w:eastAsia="zh-CN"/>
              </w:rPr>
              <w:t>必要</w:t>
            </w:r>
          </w:p>
        </w:tc>
        <w:tc>
          <w:tcPr>
            <w:tcW w:w="54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6E9CC3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全量事项</w:t>
            </w:r>
          </w:p>
        </w:tc>
        <w:tc>
          <w:tcPr>
            <w:tcW w:w="46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B7360E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3980DB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both"/>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eastAsia="zh-CN"/>
              </w:rPr>
              <w:t>应于2025年1月1日（含当日）起开具</w:t>
            </w:r>
          </w:p>
        </w:tc>
      </w:tr>
      <w:tr w14:paraId="708E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C32AA0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4</w:t>
            </w:r>
          </w:p>
        </w:tc>
        <w:tc>
          <w:tcPr>
            <w:tcW w:w="93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70DE03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aps w:val="0"/>
                <w:color w:val="000000"/>
                <w:sz w:val="21"/>
                <w:szCs w:val="21"/>
                <w:highlight w:val="none"/>
                <w:u w:val="none"/>
                <w:lang w:val="en-US" w:eastAsia="zh-CN"/>
              </w:rPr>
            </w:pPr>
            <w:r>
              <w:rPr>
                <w:rFonts w:hint="default" w:ascii="Times New Roman" w:hAnsi="Times New Roman" w:eastAsia="宋体" w:cs="Times New Roman"/>
                <w:caps w:val="0"/>
                <w:color w:val="000000"/>
                <w:sz w:val="21"/>
                <w:szCs w:val="21"/>
                <w:highlight w:val="none"/>
                <w:u w:val="none"/>
                <w:lang w:val="en-US" w:eastAsia="zh-CN"/>
              </w:rPr>
              <w:t>新车的《机动车销售统一发票》</w:t>
            </w:r>
          </w:p>
        </w:tc>
        <w:tc>
          <w:tcPr>
            <w:tcW w:w="4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B31692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原件</w:t>
            </w:r>
          </w:p>
        </w:tc>
        <w:tc>
          <w:tcPr>
            <w:tcW w:w="2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C4FF61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电子</w:t>
            </w:r>
          </w:p>
        </w:tc>
        <w:tc>
          <w:tcPr>
            <w:tcW w:w="38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9E1DA9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aps w:val="0"/>
                <w:color w:val="000000"/>
                <w:kern w:val="0"/>
                <w:sz w:val="21"/>
                <w:szCs w:val="21"/>
                <w:highlight w:val="none"/>
                <w:lang w:bidi="ar"/>
              </w:rPr>
            </w:pPr>
            <w:r>
              <w:rPr>
                <w:rFonts w:hint="default" w:ascii="Times New Roman" w:hAnsi="Times New Roman" w:eastAsia="宋体" w:cs="Times New Roman"/>
                <w:caps w:val="0"/>
                <w:color w:val="000000"/>
                <w:kern w:val="0"/>
                <w:sz w:val="21"/>
                <w:szCs w:val="21"/>
                <w:highlight w:val="none"/>
                <w:lang w:bidi="ar"/>
              </w:rPr>
              <w:t>政府部门核发</w:t>
            </w:r>
          </w:p>
        </w:tc>
        <w:tc>
          <w:tcPr>
            <w:tcW w:w="31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27BB48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税务部门</w:t>
            </w:r>
          </w:p>
        </w:tc>
        <w:tc>
          <w:tcPr>
            <w:tcW w:w="4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16FE3C1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0份</w:t>
            </w:r>
          </w:p>
        </w:tc>
        <w:tc>
          <w:tcPr>
            <w:tcW w:w="43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430BB79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必要</w:t>
            </w:r>
          </w:p>
        </w:tc>
        <w:tc>
          <w:tcPr>
            <w:tcW w:w="54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7E77061">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全量事项</w:t>
            </w:r>
          </w:p>
        </w:tc>
        <w:tc>
          <w:tcPr>
            <w:tcW w:w="46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1BAA12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A093B4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both"/>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eastAsia="zh-CN"/>
              </w:rPr>
              <w:t>应于2025年1月1日（含当日）起开具</w:t>
            </w:r>
          </w:p>
        </w:tc>
      </w:tr>
      <w:tr w14:paraId="0300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EA2BD3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5</w:t>
            </w:r>
          </w:p>
        </w:tc>
        <w:tc>
          <w:tcPr>
            <w:tcW w:w="93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06F02F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aps w:val="0"/>
                <w:color w:val="000000"/>
                <w:sz w:val="21"/>
                <w:szCs w:val="21"/>
                <w:highlight w:val="none"/>
                <w:u w:val="none"/>
                <w:lang w:val="en-US" w:eastAsia="zh-CN"/>
              </w:rPr>
            </w:pPr>
            <w:r>
              <w:rPr>
                <w:rFonts w:hint="default" w:ascii="Times New Roman" w:hAnsi="Times New Roman" w:eastAsia="宋体" w:cs="Times New Roman"/>
                <w:caps w:val="0"/>
                <w:color w:val="000000"/>
                <w:sz w:val="21"/>
                <w:szCs w:val="21"/>
                <w:highlight w:val="none"/>
                <w:u w:val="none"/>
                <w:lang w:val="en-US" w:eastAsia="zh-CN"/>
              </w:rPr>
              <w:t>新车的《机动车登记证书》</w:t>
            </w:r>
          </w:p>
        </w:tc>
        <w:tc>
          <w:tcPr>
            <w:tcW w:w="401"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65EC5B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原件</w:t>
            </w:r>
          </w:p>
        </w:tc>
        <w:tc>
          <w:tcPr>
            <w:tcW w:w="2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602C2E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电子</w:t>
            </w:r>
          </w:p>
        </w:tc>
        <w:tc>
          <w:tcPr>
            <w:tcW w:w="380"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56D7CEE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aps w:val="0"/>
                <w:color w:val="000000"/>
                <w:kern w:val="0"/>
                <w:sz w:val="21"/>
                <w:szCs w:val="21"/>
                <w:highlight w:val="none"/>
                <w:lang w:bidi="ar"/>
              </w:rPr>
            </w:pPr>
            <w:r>
              <w:rPr>
                <w:rFonts w:hint="default" w:ascii="Times New Roman" w:hAnsi="Times New Roman" w:eastAsia="宋体" w:cs="Times New Roman"/>
                <w:caps w:val="0"/>
                <w:color w:val="000000"/>
                <w:kern w:val="0"/>
                <w:sz w:val="21"/>
                <w:szCs w:val="21"/>
                <w:highlight w:val="none"/>
                <w:lang w:bidi="ar"/>
              </w:rPr>
              <w:t>政府部门核发</w:t>
            </w:r>
          </w:p>
        </w:tc>
        <w:tc>
          <w:tcPr>
            <w:tcW w:w="31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3958FAC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公安部门</w:t>
            </w:r>
          </w:p>
        </w:tc>
        <w:tc>
          <w:tcPr>
            <w:tcW w:w="49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83B35F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0份</w:t>
            </w:r>
          </w:p>
        </w:tc>
        <w:tc>
          <w:tcPr>
            <w:tcW w:w="435"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739ADC4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aps w:val="0"/>
                <w:color w:val="000000"/>
                <w:sz w:val="21"/>
                <w:szCs w:val="21"/>
                <w:highlight w:val="none"/>
                <w:u w:val="none"/>
                <w:lang w:eastAsia="zh-CN"/>
              </w:rPr>
            </w:pPr>
            <w:r>
              <w:rPr>
                <w:rFonts w:hint="default" w:ascii="Times New Roman" w:hAnsi="Times New Roman" w:eastAsia="宋体" w:cs="Times New Roman"/>
                <w:i w:val="0"/>
                <w:iCs w:val="0"/>
                <w:caps w:val="0"/>
                <w:color w:val="000000"/>
                <w:sz w:val="21"/>
                <w:szCs w:val="21"/>
                <w:highlight w:val="none"/>
                <w:u w:val="none"/>
                <w:lang w:eastAsia="zh-CN"/>
              </w:rPr>
              <w:t>必要</w:t>
            </w:r>
          </w:p>
        </w:tc>
        <w:tc>
          <w:tcPr>
            <w:tcW w:w="549"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0CC45F9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i w:val="0"/>
                <w:iCs w:val="0"/>
                <w:caps w:val="0"/>
                <w:color w:val="000000"/>
                <w:sz w:val="21"/>
                <w:szCs w:val="21"/>
                <w:highlight w:val="none"/>
                <w:u w:val="none"/>
                <w:lang w:val="en-US" w:eastAsia="zh-CN"/>
              </w:rPr>
              <w:t>全量事项</w:t>
            </w:r>
          </w:p>
        </w:tc>
        <w:tc>
          <w:tcPr>
            <w:tcW w:w="462"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267AEE8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i w:val="0"/>
                <w:iCs w:val="0"/>
                <w:caps w:val="0"/>
                <w:color w:val="000000"/>
                <w:sz w:val="21"/>
                <w:szCs w:val="21"/>
                <w:highlight w:val="none"/>
                <w:u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0"/>
            <w:tcMar>
              <w:top w:w="28" w:type="dxa"/>
              <w:left w:w="28" w:type="dxa"/>
              <w:bottom w:w="28" w:type="dxa"/>
              <w:right w:w="28" w:type="dxa"/>
            </w:tcMar>
            <w:vAlign w:val="center"/>
          </w:tcPr>
          <w:p w14:paraId="622D0018">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240" w:lineRule="auto"/>
              <w:ind w:left="0" w:right="0"/>
              <w:jc w:val="both"/>
              <w:rPr>
                <w:rFonts w:hint="default" w:ascii="Times New Roman" w:hAnsi="Times New Roman" w:eastAsia="宋体" w:cs="Times New Roman"/>
                <w:i w:val="0"/>
                <w:iCs w:val="0"/>
                <w:caps w:val="0"/>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eastAsia="zh-CN"/>
              </w:rPr>
              <w:t>应于2025年1月1日（含当日）起开具</w:t>
            </w:r>
          </w:p>
        </w:tc>
      </w:tr>
      <w:bookmarkEnd w:id="8"/>
    </w:tbl>
    <w:p w14:paraId="6731055A">
      <w:pPr>
        <w:bidi w:val="0"/>
        <w:rPr>
          <w:rFonts w:hint="default" w:ascii="Times New Roman" w:hAnsi="Times New Roman" w:cs="Times New Roman"/>
          <w:lang w:val="en-US" w:eastAsia="zh-CN"/>
        </w:rPr>
      </w:pPr>
    </w:p>
    <w:p w14:paraId="14EE1E8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3FA8918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45AA8FC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5AB1549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6BE8FBD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576510F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5A200D9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0F8B4F8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4D5081F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4FDA4F1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rPr>
          <w:rFonts w:hint="default" w:ascii="Times New Roman" w:hAnsi="Times New Roman" w:eastAsia="黑体" w:cs="Times New Roman"/>
          <w:caps w:val="0"/>
          <w:color w:val="000000"/>
          <w:sz w:val="32"/>
          <w:szCs w:val="32"/>
          <w:highlight w:val="none"/>
          <w:lang w:val="en-US" w:eastAsia="zh-CN"/>
        </w:rPr>
      </w:pPr>
    </w:p>
    <w:p w14:paraId="287067C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rPr>
          <w:rFonts w:hint="default" w:ascii="Times New Roman" w:hAnsi="Times New Roman" w:eastAsia="黑体" w:cs="Times New Roman"/>
          <w:caps w:val="0"/>
          <w:color w:val="000000"/>
          <w:sz w:val="32"/>
          <w:szCs w:val="32"/>
          <w:highlight w:val="none"/>
          <w:lang w:val="en-US" w:eastAsia="zh-CN"/>
        </w:rPr>
      </w:pPr>
    </w:p>
    <w:p w14:paraId="7C1BC13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rPr>
          <w:rFonts w:hint="default" w:ascii="Times New Roman" w:hAnsi="Times New Roman" w:eastAsia="黑体" w:cs="Times New Roman"/>
          <w:caps w:val="0"/>
          <w:color w:val="000000"/>
          <w:sz w:val="32"/>
          <w:szCs w:val="32"/>
          <w:highlight w:val="none"/>
          <w:lang w:val="en-US" w:eastAsia="zh-CN"/>
        </w:rPr>
      </w:pPr>
      <w:r>
        <w:rPr>
          <w:rFonts w:hint="default" w:ascii="Times New Roman" w:hAnsi="Times New Roman" w:eastAsia="黑体" w:cs="Times New Roman"/>
          <w:caps w:val="0"/>
          <w:color w:val="000000"/>
          <w:sz w:val="32"/>
          <w:szCs w:val="32"/>
          <w:highlight w:val="none"/>
          <w:lang w:val="en-US" w:eastAsia="zh-CN"/>
        </w:rPr>
        <w:t>附件2</w:t>
      </w:r>
    </w:p>
    <w:p w14:paraId="705BD0F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both"/>
        <w:textAlignment w:val="auto"/>
        <w:outlineLvl w:val="1"/>
        <w:rPr>
          <w:rFonts w:hint="default" w:ascii="Times New Roman" w:hAnsi="Times New Roman" w:eastAsia="方正小标宋简体" w:cs="Times New Roman"/>
          <w:caps w:val="0"/>
          <w:color w:val="000000"/>
          <w:spacing w:val="0"/>
          <w:sz w:val="44"/>
          <w:szCs w:val="44"/>
          <w:highlight w:val="none"/>
          <w:lang w:val="en-US" w:eastAsia="zh-CN"/>
        </w:rPr>
      </w:pPr>
    </w:p>
    <w:p w14:paraId="03A061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方正小标宋简体" w:hAnsi="方正小标宋简体" w:eastAsia="方正小标宋简体" w:cs="方正小标宋简体"/>
          <w:caps w:val="0"/>
          <w:color w:val="000000"/>
          <w:spacing w:val="0"/>
          <w:sz w:val="44"/>
          <w:szCs w:val="44"/>
          <w:highlight w:val="none"/>
          <w:lang w:val="en-US" w:eastAsia="zh-CN"/>
        </w:rPr>
      </w:pPr>
      <w:r>
        <w:rPr>
          <w:rFonts w:hint="eastAsia" w:ascii="方正小标宋简体" w:hAnsi="方正小标宋简体" w:eastAsia="方正小标宋简体" w:cs="方正小标宋简体"/>
          <w:caps w:val="0"/>
          <w:color w:val="000000"/>
          <w:spacing w:val="0"/>
          <w:sz w:val="44"/>
          <w:szCs w:val="44"/>
          <w:highlight w:val="none"/>
          <w:lang w:val="en-US" w:eastAsia="zh-CN"/>
        </w:rPr>
        <w:t>广西汽车以旧换新补贴申请（2025年度）</w:t>
      </w:r>
    </w:p>
    <w:p w14:paraId="296A677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aps w:val="0"/>
          <w:color w:val="000000"/>
          <w:spacing w:val="0"/>
          <w:sz w:val="44"/>
          <w:szCs w:val="44"/>
          <w:highlight w:val="none"/>
          <w:lang w:val="en-US" w:eastAsia="zh-CN"/>
        </w:rPr>
        <w:t>“高效办成一件事”业务流程图</w:t>
      </w: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62336" behindDoc="0" locked="0" layoutInCell="1" allowOverlap="1">
            <wp:simplePos x="0" y="0"/>
            <wp:positionH relativeFrom="column">
              <wp:posOffset>-261620</wp:posOffset>
            </wp:positionH>
            <wp:positionV relativeFrom="paragraph">
              <wp:posOffset>776605</wp:posOffset>
            </wp:positionV>
            <wp:extent cx="5892165" cy="6091555"/>
            <wp:effectExtent l="0" t="0" r="13335" b="4445"/>
            <wp:wrapSquare wrapText="bothSides"/>
            <wp:docPr id="2" name="图片 7" descr="图片20250521_115334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图片20250521_115334_01(1)"/>
                    <pic:cNvPicPr>
                      <a:picLocks noChangeAspect="1"/>
                    </pic:cNvPicPr>
                  </pic:nvPicPr>
                  <pic:blipFill>
                    <a:blip r:embed="rId7"/>
                    <a:stretch>
                      <a:fillRect/>
                    </a:stretch>
                  </pic:blipFill>
                  <pic:spPr>
                    <a:xfrm>
                      <a:off x="0" y="0"/>
                      <a:ext cx="5892165" cy="6091555"/>
                    </a:xfrm>
                    <a:prstGeom prst="rect">
                      <a:avLst/>
                    </a:prstGeom>
                    <a:noFill/>
                    <a:ln>
                      <a:noFill/>
                    </a:ln>
                  </pic:spPr>
                </pic:pic>
              </a:graphicData>
            </a:graphic>
          </wp:anchor>
        </w:drawing>
      </w:r>
    </w:p>
    <w:p w14:paraId="1B75097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left"/>
        <w:rPr>
          <w:rFonts w:hint="default" w:ascii="Times New Roman" w:hAnsi="Times New Roman" w:eastAsia="黑体" w:cs="Times New Roman"/>
          <w:caps w:val="0"/>
          <w:color w:val="000000"/>
          <w:sz w:val="32"/>
          <w:szCs w:val="32"/>
          <w:highlight w:val="none"/>
          <w:lang w:val="en-US" w:eastAsia="zh-CN"/>
        </w:rPr>
        <w:sectPr>
          <w:footerReference r:id="rId5" w:type="first"/>
          <w:footerReference r:id="rId3" w:type="default"/>
          <w:footerReference r:id="rId4" w:type="even"/>
          <w:pgSz w:w="11906" w:h="16838"/>
          <w:pgMar w:top="2098" w:right="1474" w:bottom="1984" w:left="1587" w:header="851" w:footer="1701" w:gutter="0"/>
          <w:pgNumType w:fmt="decimal"/>
          <w:cols w:space="720" w:num="1"/>
          <w:titlePg/>
          <w:rtlGutter w:val="0"/>
          <w:docGrid w:type="lines" w:linePitch="439" w:charSpace="0"/>
        </w:sectPr>
      </w:pPr>
      <w:bookmarkStart w:id="9" w:name="_GoBack"/>
      <w:bookmarkEnd w:id="9"/>
    </w:p>
    <w:p w14:paraId="44B6C6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F71F5-952F-4FEE-A272-F0B0A330BF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AAF77D-9F48-4399-8734-936356D17B7D}"/>
  </w:font>
  <w:font w:name="仿宋_GB2312">
    <w:panose1 w:val="02010609030101010101"/>
    <w:charset w:val="86"/>
    <w:family w:val="modern"/>
    <w:pitch w:val="default"/>
    <w:sig w:usb0="00000001" w:usb1="080E0000" w:usb2="00000000" w:usb3="00000000" w:csb0="00040000" w:csb1="00000000"/>
    <w:embedRegular r:id="rId3" w:fontKey="{07075FAD-F10A-4C2C-A279-5C0341A062DC}"/>
  </w:font>
  <w:font w:name="方正小标宋_GBK">
    <w:panose1 w:val="03000509000000000000"/>
    <w:charset w:val="86"/>
    <w:family w:val="script"/>
    <w:pitch w:val="default"/>
    <w:sig w:usb0="00000001" w:usb1="080E0000" w:usb2="00000000" w:usb3="00000000" w:csb0="00040000" w:csb1="00000000"/>
    <w:embedRegular r:id="rId4" w:fontKey="{87DFDF1A-D2F5-436F-83F4-8D8AFA00404E}"/>
  </w:font>
  <w:font w:name="方正小标宋简体">
    <w:panose1 w:val="02000000000000000000"/>
    <w:charset w:val="86"/>
    <w:family w:val="script"/>
    <w:pitch w:val="default"/>
    <w:sig w:usb0="00000001" w:usb1="08000000" w:usb2="00000000" w:usb3="00000000" w:csb0="00040000" w:csb1="00000000"/>
    <w:embedRegular r:id="rId5" w:fontKey="{8624B613-F5B1-42E7-A61E-8BCFE127D25B}"/>
  </w:font>
  <w:font w:name="方正仿宋_GBK">
    <w:panose1 w:val="02000000000000000000"/>
    <w:charset w:val="86"/>
    <w:family w:val="script"/>
    <w:pitch w:val="default"/>
    <w:sig w:usb0="A00002BF" w:usb1="38CF7CFA" w:usb2="00082016" w:usb3="00000000" w:csb0="00040001" w:csb1="00000000"/>
    <w:embedRegular r:id="rId6" w:fontKey="{1E440D5C-EF10-421C-9BC4-648093946F44}"/>
  </w:font>
  <w:font w:name="方正黑体_GBK">
    <w:panose1 w:val="02010600010101010101"/>
    <w:charset w:val="86"/>
    <w:family w:val="auto"/>
    <w:pitch w:val="default"/>
    <w:sig w:usb0="00000001" w:usb1="080E0000" w:usb2="00000000" w:usb3="00000000" w:csb0="00040000" w:csb1="00000000"/>
    <w:embedRegular r:id="rId7" w:fontKey="{635DBBC1-1FC6-44EE-8857-626F486B7E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6803">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DBC8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32EDBC8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49AD">
    <w:pPr>
      <w:pStyle w:val="3"/>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59667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E59667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91D2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E490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464E490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EFF54"/>
    <w:multiLevelType w:val="singleLevel"/>
    <w:tmpl w:val="B28EFF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4226"/>
    <w:rsid w:val="6EDF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BodyText"/>
    <w:basedOn w:val="1"/>
    <w:qFormat/>
    <w:uiPriority w:val="99"/>
    <w:pPr>
      <w:ind w:left="707"/>
    </w:pPr>
    <w:rPr>
      <w:rFonts w:ascii="宋体" w:hAnsi="宋体" w:eastAsia="宋体"/>
      <w:sz w:val="23"/>
      <w:szCs w:val="24"/>
    </w:rPr>
  </w:style>
  <w:style w:type="paragraph" w:styleId="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2025-07-31T02:35:00Z</dcterms:created>
  <dc:creator>郑欣欣</dc:creator>
  <cp:lastModifiedBy>郑欣欣</cp:lastModifiedBy>
  <dcterms:modified xsi:type="dcterms:W3CDTF">2025-07-31T02:35:37Z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ADAFDE7D34E348B481275BA1E078EF06_11</vt:lpwstr>
  </property>
  <property fmtid="{D5CDD505-2E9C-101B-9397-08002B2CF9AE}" pid="4" name="KSOTemplateDocerSaveRecord">
    <vt:lpwstr>eyJoZGlkIjoiMTNmNmI0MWUwYWQyNGI0NDkyZGRmZDcyZGNjYTY3NDIiLCJ1c2VySWQiOiIxMzQ2OTA1NDc1In0=</vt:lpwstr>
  </property>
</Properties>
</file>